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0EBCB" w14:textId="77777777" w:rsidR="001A71DA" w:rsidRDefault="004E5305">
      <w:pPr>
        <w:pStyle w:val="Textkrper"/>
        <w:rPr>
          <w:b/>
          <w:color w:val="000000"/>
          <w:sz w:val="22"/>
          <w:szCs w:val="22"/>
        </w:rPr>
      </w:pPr>
      <w:r>
        <w:rPr>
          <w:b/>
          <w:color w:val="000000"/>
          <w:sz w:val="22"/>
          <w:szCs w:val="22"/>
        </w:rPr>
        <w:t>Anlage 3 (zu § 10)</w:t>
      </w:r>
    </w:p>
    <w:p w14:paraId="2602AA48" w14:textId="77777777" w:rsidR="001A71DA" w:rsidRDefault="001A71DA">
      <w:pPr>
        <w:pStyle w:val="Textkrper"/>
        <w:jc w:val="center"/>
        <w:rPr>
          <w:b/>
          <w:color w:val="000000"/>
          <w:sz w:val="22"/>
          <w:szCs w:val="22"/>
        </w:rPr>
      </w:pPr>
    </w:p>
    <w:p w14:paraId="4F4B5656" w14:textId="0F2AA87B" w:rsidR="001A71DA" w:rsidRDefault="004E5305">
      <w:pPr>
        <w:pStyle w:val="Textkrper"/>
        <w:jc w:val="center"/>
        <w:rPr>
          <w:b/>
          <w:color w:val="000000"/>
          <w:sz w:val="22"/>
          <w:szCs w:val="22"/>
        </w:rPr>
      </w:pPr>
      <w:r>
        <w:rPr>
          <w:b/>
          <w:color w:val="000000"/>
          <w:sz w:val="22"/>
          <w:szCs w:val="22"/>
        </w:rPr>
        <w:t>Qualitätssicherung</w:t>
      </w:r>
    </w:p>
    <w:p w14:paraId="1E34F734" w14:textId="77777777" w:rsidR="001A71DA" w:rsidRDefault="004E5305">
      <w:pPr>
        <w:spacing w:line="360" w:lineRule="auto"/>
        <w:jc w:val="center"/>
        <w:rPr>
          <w:b/>
          <w:color w:val="000000"/>
        </w:rPr>
      </w:pPr>
      <w:r>
        <w:rPr>
          <w:b/>
          <w:color w:val="000000"/>
        </w:rPr>
        <w:t>§ 1</w:t>
      </w:r>
    </w:p>
    <w:p w14:paraId="70FC58C2" w14:textId="77777777" w:rsidR="001A71DA" w:rsidRDefault="004E5305">
      <w:pPr>
        <w:spacing w:line="360" w:lineRule="auto"/>
        <w:jc w:val="center"/>
        <w:rPr>
          <w:color w:val="000000"/>
        </w:rPr>
      </w:pPr>
      <w:r>
        <w:rPr>
          <w:b/>
          <w:color w:val="000000"/>
        </w:rPr>
        <w:t>Vorbemerkung</w:t>
      </w:r>
    </w:p>
    <w:p w14:paraId="1BE606A3" w14:textId="77777777" w:rsidR="001A71DA" w:rsidRDefault="001A71DA">
      <w:pPr>
        <w:rPr>
          <w:color w:val="000000"/>
        </w:rPr>
      </w:pPr>
    </w:p>
    <w:p w14:paraId="62994DF1" w14:textId="77777777" w:rsidR="001A71DA" w:rsidRDefault="004E5305">
      <w:pPr>
        <w:pStyle w:val="Textkrper"/>
        <w:spacing w:line="360" w:lineRule="auto"/>
        <w:jc w:val="both"/>
        <w:rPr>
          <w:color w:val="000000"/>
          <w:sz w:val="22"/>
          <w:szCs w:val="22"/>
        </w:rPr>
      </w:pPr>
      <w:r>
        <w:rPr>
          <w:color w:val="000000"/>
          <w:sz w:val="22"/>
          <w:szCs w:val="22"/>
        </w:rPr>
        <w:t xml:space="preserve">Die in </w:t>
      </w:r>
      <w:r w:rsidR="00B4062A" w:rsidRPr="00B4062A">
        <w:rPr>
          <w:color w:val="000000"/>
          <w:sz w:val="22"/>
          <w:szCs w:val="22"/>
        </w:rPr>
        <w:t>§ 10</w:t>
      </w:r>
      <w:r w:rsidR="00B4062A">
        <w:rPr>
          <w:color w:val="000000"/>
          <w:sz w:val="22"/>
          <w:szCs w:val="22"/>
        </w:rPr>
        <w:t xml:space="preserve"> </w:t>
      </w:r>
      <w:r>
        <w:rPr>
          <w:color w:val="000000"/>
          <w:sz w:val="22"/>
          <w:szCs w:val="22"/>
        </w:rPr>
        <w:t xml:space="preserve">der obengenannten Vereinbarung verpflichtend festgelegte Qualitätssicherung verfolgt das Ziel, die Behandlung in PIA zu optimieren, ggf. Wirtschaftlichkeitsreserven zu heben und aufgrund der einheitlich erfassten Daten qualitätssichernde Maßnahmen zu ergreifen, Wirtschaftlichkeits- und Qualitätsprüfungen (§§ 120 Abs. 3 </w:t>
      </w:r>
      <w:proofErr w:type="spellStart"/>
      <w:r>
        <w:rPr>
          <w:color w:val="000000"/>
          <w:sz w:val="22"/>
          <w:szCs w:val="22"/>
        </w:rPr>
        <w:t>i.V.m</w:t>
      </w:r>
      <w:proofErr w:type="spellEnd"/>
      <w:r>
        <w:rPr>
          <w:color w:val="000000"/>
          <w:sz w:val="22"/>
          <w:szCs w:val="22"/>
        </w:rPr>
        <w:t xml:space="preserve">. 113 Abs. 4 SGB V) durchzuführen und Qualitätsberichte zu erstellen. </w:t>
      </w:r>
    </w:p>
    <w:p w14:paraId="2E4FEF44" w14:textId="77777777" w:rsidR="001A71DA" w:rsidRDefault="001A71DA">
      <w:pPr>
        <w:rPr>
          <w:color w:val="000000"/>
        </w:rPr>
      </w:pPr>
    </w:p>
    <w:p w14:paraId="4B9ADFF1" w14:textId="77777777" w:rsidR="001A71DA" w:rsidRDefault="004E5305">
      <w:pPr>
        <w:spacing w:line="360" w:lineRule="auto"/>
        <w:jc w:val="center"/>
        <w:rPr>
          <w:b/>
          <w:color w:val="000000"/>
        </w:rPr>
      </w:pPr>
      <w:r>
        <w:rPr>
          <w:b/>
          <w:color w:val="000000"/>
        </w:rPr>
        <w:t>§ 2</w:t>
      </w:r>
    </w:p>
    <w:p w14:paraId="0F8DEB08" w14:textId="77777777" w:rsidR="001A71DA" w:rsidRDefault="004E5305">
      <w:pPr>
        <w:spacing w:line="360" w:lineRule="auto"/>
        <w:jc w:val="center"/>
        <w:rPr>
          <w:color w:val="000000"/>
        </w:rPr>
      </w:pPr>
      <w:r>
        <w:rPr>
          <w:b/>
          <w:color w:val="000000"/>
        </w:rPr>
        <w:t>Pflichten der PIA</w:t>
      </w:r>
    </w:p>
    <w:p w14:paraId="527E5A83" w14:textId="77777777" w:rsidR="001A71DA" w:rsidRDefault="001A71DA">
      <w:pPr>
        <w:jc w:val="both"/>
        <w:rPr>
          <w:color w:val="000000"/>
        </w:rPr>
      </w:pPr>
    </w:p>
    <w:p w14:paraId="54632DCD" w14:textId="467156BC" w:rsidR="001A71DA" w:rsidRDefault="004E5305">
      <w:pPr>
        <w:numPr>
          <w:ilvl w:val="0"/>
          <w:numId w:val="16"/>
        </w:numPr>
        <w:tabs>
          <w:tab w:val="clear" w:pos="360"/>
          <w:tab w:val="num" w:pos="720"/>
        </w:tabs>
        <w:spacing w:line="360" w:lineRule="auto"/>
        <w:ind w:left="720" w:hanging="720"/>
        <w:jc w:val="both"/>
        <w:rPr>
          <w:color w:val="000000"/>
        </w:rPr>
      </w:pPr>
      <w:r>
        <w:rPr>
          <w:color w:val="000000"/>
        </w:rPr>
        <w:t>Die PIA sind verpflichtet, die Daten aus der jeweils gültigen Basisdokumentation</w:t>
      </w:r>
      <w:r w:rsidR="00160C38">
        <w:rPr>
          <w:color w:val="000000"/>
        </w:rPr>
        <w:t xml:space="preserve"> entsprechend § 13 </w:t>
      </w:r>
      <w:r w:rsidR="00CF53D4">
        <w:rPr>
          <w:color w:val="000000"/>
        </w:rPr>
        <w:t xml:space="preserve">der Rahmenvereinbarung </w:t>
      </w:r>
      <w:r w:rsidR="00160C38">
        <w:rPr>
          <w:color w:val="000000"/>
        </w:rPr>
        <w:t>datenschutzkonform zu verarbeiten und</w:t>
      </w:r>
      <w:r>
        <w:rPr>
          <w:color w:val="000000"/>
        </w:rPr>
        <w:t xml:space="preserve"> anonymisiert einer Auswertungsstelle per Datenträger oder elektronisch und verschlüsselt in der jeweils festgelegten Form bis </w:t>
      </w:r>
      <w:r w:rsidR="00B90005">
        <w:rPr>
          <w:color w:val="000000"/>
        </w:rPr>
        <w:t>30. September</w:t>
      </w:r>
      <w:r>
        <w:rPr>
          <w:color w:val="000000"/>
        </w:rPr>
        <w:t xml:space="preserve"> des Folgejahres zur Verfügung zu stellen. </w:t>
      </w:r>
    </w:p>
    <w:p w14:paraId="7BE105FC" w14:textId="77777777" w:rsidR="001A71DA" w:rsidRDefault="001A71DA">
      <w:pPr>
        <w:spacing w:line="360" w:lineRule="auto"/>
        <w:jc w:val="both"/>
        <w:rPr>
          <w:color w:val="000000"/>
        </w:rPr>
      </w:pPr>
    </w:p>
    <w:p w14:paraId="02AF7FB3" w14:textId="64A4F36F" w:rsidR="001A71DA" w:rsidRDefault="004E5305">
      <w:pPr>
        <w:numPr>
          <w:ilvl w:val="0"/>
          <w:numId w:val="16"/>
        </w:numPr>
        <w:tabs>
          <w:tab w:val="clear" w:pos="360"/>
          <w:tab w:val="num" w:pos="720"/>
          <w:tab w:val="left" w:pos="2880"/>
        </w:tabs>
        <w:spacing w:line="360" w:lineRule="auto"/>
        <w:ind w:left="720" w:hanging="720"/>
        <w:jc w:val="both"/>
        <w:rPr>
          <w:color w:val="000000"/>
        </w:rPr>
      </w:pPr>
      <w:r>
        <w:rPr>
          <w:color w:val="000000"/>
        </w:rPr>
        <w:t xml:space="preserve">Für die Basisdokumentation der in den PIA für Erwachsene behandelten Patienten gelten die jeweils gültigen Dokumentationsvorgaben nach </w:t>
      </w:r>
      <w:r w:rsidR="00CF53D4">
        <w:rPr>
          <w:color w:val="000000"/>
        </w:rPr>
        <w:t xml:space="preserve">Anhängen </w:t>
      </w:r>
      <w:r>
        <w:rPr>
          <w:color w:val="000000"/>
        </w:rPr>
        <w:t>1 zu dieser Anlage.</w:t>
      </w:r>
    </w:p>
    <w:p w14:paraId="21C29FEA" w14:textId="77777777" w:rsidR="001A71DA" w:rsidRDefault="001A71DA">
      <w:pPr>
        <w:tabs>
          <w:tab w:val="num" w:pos="720"/>
        </w:tabs>
        <w:ind w:left="720" w:hanging="720"/>
        <w:jc w:val="both"/>
        <w:rPr>
          <w:color w:val="000000"/>
        </w:rPr>
      </w:pPr>
    </w:p>
    <w:p w14:paraId="427D9C17" w14:textId="271BC676" w:rsidR="001A71DA" w:rsidRDefault="004E5305">
      <w:pPr>
        <w:numPr>
          <w:ilvl w:val="0"/>
          <w:numId w:val="16"/>
        </w:numPr>
        <w:tabs>
          <w:tab w:val="clear" w:pos="360"/>
          <w:tab w:val="num" w:pos="720"/>
        </w:tabs>
        <w:spacing w:line="360" w:lineRule="auto"/>
        <w:ind w:left="720" w:hanging="720"/>
        <w:jc w:val="both"/>
        <w:rPr>
          <w:color w:val="000000"/>
        </w:rPr>
      </w:pPr>
      <w:r>
        <w:rPr>
          <w:color w:val="000000"/>
        </w:rPr>
        <w:t xml:space="preserve">Für die Basisdokumentation der in den PIA für Kinder und Jugendliche behandelten Patienten gelten die jeweils gültigen Dokumentationsvorgaben nach </w:t>
      </w:r>
      <w:r w:rsidR="00CF53D4">
        <w:rPr>
          <w:color w:val="000000"/>
        </w:rPr>
        <w:t xml:space="preserve">Anhängen </w:t>
      </w:r>
      <w:r>
        <w:rPr>
          <w:color w:val="000000"/>
        </w:rPr>
        <w:t>2 zu dieser Anlage.</w:t>
      </w:r>
    </w:p>
    <w:p w14:paraId="67DA0528" w14:textId="77777777" w:rsidR="001A71DA" w:rsidRDefault="001A71DA">
      <w:pPr>
        <w:spacing w:line="360" w:lineRule="auto"/>
        <w:jc w:val="center"/>
        <w:rPr>
          <w:b/>
        </w:rPr>
      </w:pPr>
    </w:p>
    <w:p w14:paraId="3204B177" w14:textId="77777777" w:rsidR="001A71DA" w:rsidRDefault="004E5305">
      <w:pPr>
        <w:spacing w:line="360" w:lineRule="auto"/>
        <w:jc w:val="center"/>
        <w:rPr>
          <w:b/>
        </w:rPr>
      </w:pPr>
      <w:r>
        <w:rPr>
          <w:b/>
        </w:rPr>
        <w:t>§ 3</w:t>
      </w:r>
    </w:p>
    <w:p w14:paraId="7918E537" w14:textId="77777777" w:rsidR="001A71DA" w:rsidRDefault="004E5305">
      <w:pPr>
        <w:spacing w:line="360" w:lineRule="auto"/>
        <w:jc w:val="center"/>
        <w:rPr>
          <w:b/>
        </w:rPr>
      </w:pPr>
      <w:r>
        <w:rPr>
          <w:b/>
        </w:rPr>
        <w:t>Auswertungsstelle</w:t>
      </w:r>
    </w:p>
    <w:p w14:paraId="4B1E57A8" w14:textId="77777777" w:rsidR="001A71DA" w:rsidRDefault="001A71DA">
      <w:pPr>
        <w:spacing w:line="360" w:lineRule="auto"/>
        <w:jc w:val="center"/>
      </w:pPr>
    </w:p>
    <w:p w14:paraId="6615986D" w14:textId="3F316F67" w:rsidR="001A71DA" w:rsidRDefault="00B90005" w:rsidP="00B632C8">
      <w:pPr>
        <w:numPr>
          <w:ilvl w:val="0"/>
          <w:numId w:val="14"/>
        </w:numPr>
        <w:tabs>
          <w:tab w:val="clear" w:pos="1776"/>
        </w:tabs>
        <w:spacing w:line="360" w:lineRule="auto"/>
        <w:ind w:left="709" w:hanging="709"/>
      </w:pPr>
      <w:r w:rsidRPr="00B90005">
        <w:t>Als Auswertungsstelle dient BIDAQ (Bayerisches Institut für Daten, Analysen und Qualitätssicherung), eingerichtet bei den Kliniken des Bezirks Oberbayern – Kommunalunternehmen (kbo), Prinzregentenstraße 18, 80538 München</w:t>
      </w:r>
      <w:r w:rsidR="004E5305">
        <w:t xml:space="preserve">. Die der Auswertungsstelle von den PIA zur Erfüllung dieser Vereinbarung zur Verfügung gestellten Daten dürfen ausschließlich für die Zwecke nach </w:t>
      </w:r>
      <w:r w:rsidR="003844F6">
        <w:t xml:space="preserve">Abs. </w:t>
      </w:r>
      <w:r w:rsidR="004E5305">
        <w:t>3 und 4 verwendet werden. Dabei wird sichergestellt, dass nur Personen Zugriff auf die Daten der Auswertungsstelle haben, die formal mit der Erledigung deren Aufgaben betraut sind. Die Datenschutzanforderungen sind einzuhalten.</w:t>
      </w:r>
    </w:p>
    <w:p w14:paraId="668B918A" w14:textId="77777777" w:rsidR="00BB3B76" w:rsidRDefault="00BB3B76" w:rsidP="00BB3B76">
      <w:pPr>
        <w:spacing w:line="360" w:lineRule="auto"/>
        <w:ind w:left="709"/>
      </w:pPr>
    </w:p>
    <w:p w14:paraId="658589FA" w14:textId="73008247" w:rsidR="001A71DA" w:rsidRDefault="004E5305">
      <w:pPr>
        <w:pStyle w:val="Textkrper-Einzug2"/>
      </w:pPr>
      <w:r>
        <w:t>(2)</w:t>
      </w:r>
      <w:r>
        <w:tab/>
        <w:t xml:space="preserve">Die </w:t>
      </w:r>
      <w:r w:rsidR="000C6205">
        <w:t>Auswertungsstelle</w:t>
      </w:r>
      <w:r>
        <w:t xml:space="preserve"> </w:t>
      </w:r>
      <w:r w:rsidR="00C03247">
        <w:t>hat sich mit Vereinbarung von</w:t>
      </w:r>
      <w:r w:rsidR="00373ECA">
        <w:t xml:space="preserve"> zwei Wochen</w:t>
      </w:r>
      <w:r w:rsidR="00C03247">
        <w:t xml:space="preserve"> </w:t>
      </w:r>
      <w:r>
        <w:t>schriftlich gegenüber den Vereinbarungspartnern zur Übernahme der Aufgaben der Auswertungsstelle und Akzeptanz der hierzu getroffenen Regelungen bereit</w:t>
      </w:r>
      <w:r w:rsidR="00C03247">
        <w:t xml:space="preserve"> erklärt</w:t>
      </w:r>
      <w:r>
        <w:t>.</w:t>
      </w:r>
    </w:p>
    <w:p w14:paraId="4F0B29BD" w14:textId="77777777" w:rsidR="001A71DA" w:rsidRDefault="001A71DA">
      <w:pPr>
        <w:spacing w:line="360" w:lineRule="auto"/>
        <w:ind w:left="720" w:hanging="720"/>
        <w:jc w:val="both"/>
      </w:pPr>
    </w:p>
    <w:p w14:paraId="7A4D2367" w14:textId="77777777" w:rsidR="001A71DA" w:rsidRDefault="004E5305" w:rsidP="0003266E">
      <w:pPr>
        <w:pStyle w:val="Textkrper-Einzug2"/>
      </w:pPr>
      <w:r>
        <w:t>(3)</w:t>
      </w:r>
      <w:r>
        <w:tab/>
        <w:t xml:space="preserve">Die Auswertungsstelle stellt den Vereinbarungspartnern jeweils zum </w:t>
      </w:r>
      <w:r w:rsidR="00DD1B99" w:rsidRPr="00DD1B99">
        <w:t>30.11. des Jahres für die PIA der Erwachsenenpsychiatrie einen Bericht über den Umfang und die technische Auswertbarkeit der von den PIA übermittelten Daten der AmBADO zur Verfügung</w:t>
      </w:r>
      <w:r>
        <w:t>.</w:t>
      </w:r>
      <w:r w:rsidR="00123707">
        <w:br/>
      </w:r>
      <w:r w:rsidR="00123707" w:rsidRPr="00123707">
        <w:t>Für die PIA der KJP gilt: Soweit die Auswertungsstelle zum 30.11. die umfassende technische Auswertbarkeit einzelner KJP-PIA noch nicht dokumentieren kann, wird diese Information mit Vorlage des Jahresberichts, spätestens jedoch bis 30.09. des Folgejahrs übermittelt.</w:t>
      </w:r>
    </w:p>
    <w:p w14:paraId="7C542E42" w14:textId="77777777" w:rsidR="0003266E" w:rsidRDefault="0003266E" w:rsidP="0003266E">
      <w:pPr>
        <w:pStyle w:val="Textkrper-Einzug2"/>
      </w:pPr>
    </w:p>
    <w:p w14:paraId="447FA651" w14:textId="728E2762" w:rsidR="001A71DA" w:rsidRDefault="004E5305">
      <w:pPr>
        <w:pStyle w:val="Textkrper-Einzug3"/>
      </w:pPr>
      <w:r>
        <w:t>(4)</w:t>
      </w:r>
      <w:r>
        <w:tab/>
        <w:t>Die Auswertungsstelle wertet die Daten nach der Auswertungsmatrix der Anhänge 1.4 und 2.</w:t>
      </w:r>
      <w:r w:rsidR="00FA35ED">
        <w:t>3</w:t>
      </w:r>
      <w:r>
        <w:t xml:space="preserve"> aus und erstellt routinemäßig folgende Berichte:</w:t>
      </w:r>
    </w:p>
    <w:p w14:paraId="701C5381" w14:textId="0210F83E" w:rsidR="001A71DA" w:rsidRDefault="001A71DA">
      <w:pPr>
        <w:spacing w:line="360" w:lineRule="auto"/>
        <w:ind w:firstLine="708"/>
      </w:pPr>
    </w:p>
    <w:p w14:paraId="09BC7327" w14:textId="77777777" w:rsidR="001A71DA" w:rsidRDefault="004E5305">
      <w:pPr>
        <w:spacing w:line="360" w:lineRule="auto"/>
        <w:ind w:left="1413" w:hanging="705"/>
      </w:pPr>
      <w:r>
        <w:t>a)</w:t>
      </w:r>
      <w:r>
        <w:tab/>
        <w:t>Zeitnah eine Darstellung der zu dokumentierenden Daten für</w:t>
      </w:r>
      <w:r>
        <w:br/>
        <w:t xml:space="preserve">die einzelnen PIA </w:t>
      </w:r>
    </w:p>
    <w:p w14:paraId="1D9A593D" w14:textId="5289DD5A" w:rsidR="001A71DA" w:rsidRDefault="004E5305">
      <w:pPr>
        <w:numPr>
          <w:ilvl w:val="0"/>
          <w:numId w:val="5"/>
        </w:numPr>
        <w:tabs>
          <w:tab w:val="left" w:pos="720"/>
        </w:tabs>
        <w:spacing w:line="360" w:lineRule="auto"/>
        <w:ind w:left="1440" w:hanging="720"/>
      </w:pPr>
      <w:r>
        <w:t xml:space="preserve">Auf rechtzeitige Anforderung der Prüfungsstelle einen Bericht für den Gemeinsamen Ausschuss für die zu prüfende PIA. </w:t>
      </w:r>
    </w:p>
    <w:p w14:paraId="455E4A3C" w14:textId="77777777" w:rsidR="001A71DA" w:rsidRDefault="004E5305">
      <w:pPr>
        <w:numPr>
          <w:ilvl w:val="0"/>
          <w:numId w:val="5"/>
        </w:numPr>
        <w:tabs>
          <w:tab w:val="clear" w:pos="1416"/>
          <w:tab w:val="left" w:pos="1440"/>
        </w:tabs>
        <w:spacing w:line="360" w:lineRule="auto"/>
        <w:ind w:left="1440" w:hanging="720"/>
      </w:pPr>
      <w:r>
        <w:t xml:space="preserve">Jährlich einen Bericht aggregierter Daten für die Vereinbarungspartner </w:t>
      </w:r>
    </w:p>
    <w:p w14:paraId="4D52A7CD" w14:textId="77777777" w:rsidR="001A71DA" w:rsidRDefault="001A71DA">
      <w:pPr>
        <w:tabs>
          <w:tab w:val="left" w:pos="1440"/>
        </w:tabs>
        <w:spacing w:line="360" w:lineRule="auto"/>
        <w:ind w:left="720"/>
      </w:pPr>
    </w:p>
    <w:p w14:paraId="76FC52AA" w14:textId="77777777" w:rsidR="001A71DA" w:rsidRDefault="004E5305">
      <w:pPr>
        <w:pStyle w:val="Textkrper-Einzug2"/>
      </w:pPr>
      <w:r>
        <w:t>(5)</w:t>
      </w:r>
      <w:r>
        <w:tab/>
        <w:t>Die Auswertungsstelle informiert die PIA rechtzeitig über die von den Vereinbarungs</w:t>
      </w:r>
      <w:r w:rsidR="00FA5687">
        <w:t>partnern bezüglich der</w:t>
      </w:r>
      <w:r>
        <w:t xml:space="preserve"> in dieser Anlage festgelegten Regelungsinhalten beschlossenen Änderungen betreffend der </w:t>
      </w:r>
      <w:r w:rsidR="00FA5687">
        <w:t>AmBADO</w:t>
      </w:r>
      <w:r>
        <w:t xml:space="preserve">. </w:t>
      </w:r>
    </w:p>
    <w:p w14:paraId="48FC32E0" w14:textId="77777777" w:rsidR="001A71DA" w:rsidRDefault="001A71DA">
      <w:pPr>
        <w:tabs>
          <w:tab w:val="left" w:pos="720"/>
        </w:tabs>
        <w:ind w:left="360"/>
        <w:rPr>
          <w:color w:val="000000"/>
        </w:rPr>
      </w:pPr>
    </w:p>
    <w:p w14:paraId="0E38A39B" w14:textId="77777777" w:rsidR="001A71DA" w:rsidRDefault="004E5305">
      <w:pPr>
        <w:spacing w:line="360" w:lineRule="auto"/>
        <w:jc w:val="center"/>
        <w:rPr>
          <w:b/>
          <w:color w:val="000000"/>
        </w:rPr>
      </w:pPr>
      <w:r>
        <w:rPr>
          <w:b/>
          <w:color w:val="000000"/>
        </w:rPr>
        <w:t>§ 4</w:t>
      </w:r>
    </w:p>
    <w:p w14:paraId="2DE917D3" w14:textId="77777777" w:rsidR="001A71DA" w:rsidRDefault="004E5305">
      <w:pPr>
        <w:spacing w:line="360" w:lineRule="auto"/>
        <w:jc w:val="center"/>
        <w:rPr>
          <w:b/>
          <w:color w:val="000000"/>
        </w:rPr>
      </w:pPr>
      <w:r>
        <w:rPr>
          <w:b/>
          <w:color w:val="000000"/>
        </w:rPr>
        <w:t>Finanzierung der Auswertungsstelle</w:t>
      </w:r>
    </w:p>
    <w:p w14:paraId="6243BB10" w14:textId="77777777" w:rsidR="001A71DA" w:rsidRDefault="001A71DA">
      <w:pPr>
        <w:rPr>
          <w:color w:val="000000"/>
        </w:rPr>
      </w:pPr>
    </w:p>
    <w:p w14:paraId="5B6C449B" w14:textId="0160A310" w:rsidR="001A71DA" w:rsidRDefault="004E5305" w:rsidP="00B632C8">
      <w:pPr>
        <w:spacing w:line="360" w:lineRule="auto"/>
        <w:rPr>
          <w:color w:val="000000"/>
        </w:rPr>
      </w:pPr>
      <w:r>
        <w:rPr>
          <w:color w:val="000000"/>
        </w:rPr>
        <w:t>Die Aufwendungen der Auswertungsstelle werden seitens der Kostenträger</w:t>
      </w:r>
      <w:r w:rsidR="00B632C8">
        <w:rPr>
          <w:color w:val="000000"/>
        </w:rPr>
        <w:t xml:space="preserve"> </w:t>
      </w:r>
      <w:r>
        <w:rPr>
          <w:color w:val="000000"/>
        </w:rPr>
        <w:t>mit einem Betrag von</w:t>
      </w:r>
      <w:r w:rsidR="00C03247">
        <w:rPr>
          <w:color w:val="000000"/>
        </w:rPr>
        <w:t xml:space="preserve"> </w:t>
      </w:r>
      <w:r w:rsidR="005863AB">
        <w:rPr>
          <w:color w:val="000000"/>
        </w:rPr>
        <w:t>89.835,</w:t>
      </w:r>
      <w:r w:rsidR="00BC4C07">
        <w:rPr>
          <w:color w:val="000000"/>
        </w:rPr>
        <w:t xml:space="preserve">28 </w:t>
      </w:r>
      <w:bookmarkStart w:id="0" w:name="_GoBack"/>
      <w:bookmarkEnd w:id="0"/>
      <w:r>
        <w:rPr>
          <w:color w:val="000000"/>
        </w:rPr>
        <w:t>€ jährlich finanziert. Eine Erhöhung dieses Betrages erfolgt analog der Steigerungsentwicklung der Vergütungssätze. Die Aufteilung dieses Betrages unter den Kostenträgern erfolgt dabei nach den Fallzahlen der einzelnen Krankenkassenverbände. Die darüber hinaus gehenden Beträge werden von den Psychiatrischen Institutsambulanzen getragen.</w:t>
      </w:r>
    </w:p>
    <w:p w14:paraId="6390C872" w14:textId="0D3E69F2" w:rsidR="00F020F0" w:rsidRDefault="00F020F0">
      <w:pPr>
        <w:rPr>
          <w:color w:val="000000"/>
        </w:rPr>
      </w:pPr>
      <w:r>
        <w:rPr>
          <w:color w:val="000000"/>
        </w:rPr>
        <w:br w:type="page"/>
      </w:r>
    </w:p>
    <w:p w14:paraId="2E732562" w14:textId="77777777" w:rsidR="00B632C8" w:rsidRDefault="00B632C8">
      <w:pPr>
        <w:rPr>
          <w:color w:val="000000"/>
        </w:rPr>
      </w:pPr>
    </w:p>
    <w:p w14:paraId="4466AAF6" w14:textId="77777777" w:rsidR="001A71DA" w:rsidRDefault="001A71DA">
      <w:pPr>
        <w:jc w:val="center"/>
        <w:rPr>
          <w:color w:val="000000"/>
        </w:rPr>
      </w:pPr>
    </w:p>
    <w:p w14:paraId="31B96846" w14:textId="77777777" w:rsidR="001A71DA" w:rsidRDefault="004E5305">
      <w:pPr>
        <w:spacing w:line="360" w:lineRule="auto"/>
        <w:jc w:val="center"/>
        <w:rPr>
          <w:b/>
          <w:color w:val="000000"/>
        </w:rPr>
      </w:pPr>
      <w:r>
        <w:rPr>
          <w:b/>
          <w:color w:val="000000"/>
        </w:rPr>
        <w:t>§ 5</w:t>
      </w:r>
    </w:p>
    <w:p w14:paraId="30E21528" w14:textId="77777777" w:rsidR="001A71DA" w:rsidRDefault="004E5305">
      <w:pPr>
        <w:spacing w:line="360" w:lineRule="auto"/>
        <w:jc w:val="center"/>
        <w:rPr>
          <w:color w:val="000000"/>
        </w:rPr>
      </w:pPr>
      <w:r>
        <w:rPr>
          <w:b/>
          <w:color w:val="000000"/>
        </w:rPr>
        <w:t>Sanktionsregelung</w:t>
      </w:r>
    </w:p>
    <w:p w14:paraId="6C525D32" w14:textId="77777777" w:rsidR="001A71DA" w:rsidRDefault="001A71DA">
      <w:pPr>
        <w:jc w:val="center"/>
        <w:rPr>
          <w:color w:val="000000"/>
        </w:rPr>
      </w:pPr>
    </w:p>
    <w:p w14:paraId="2ECE33D0" w14:textId="6C3C6B5D" w:rsidR="001A71DA" w:rsidRDefault="004E5305" w:rsidP="00B632C8">
      <w:pPr>
        <w:spacing w:line="360" w:lineRule="auto"/>
      </w:pPr>
      <w:r>
        <w:t>Wenn weniger a</w:t>
      </w:r>
      <w:r w:rsidR="00F80439">
        <w:t>ls 80 % der Datensätze gemäß dem</w:t>
      </w:r>
      <w:r>
        <w:t xml:space="preserve"> Bericht nach § 3 </w:t>
      </w:r>
      <w:r w:rsidR="00D90E96">
        <w:t xml:space="preserve">Abs. </w:t>
      </w:r>
      <w:r>
        <w:t xml:space="preserve">3 als technisch verwertbar gelten, kann die Vergütung von den Kassen bis maximal 5 % der Vergütung für das jeweilige Kalenderjahr gekürzt werden. Eine Kürzung der Vergütung ist gegenüber der PIA schriftlich mitzuteilen. Die Verrechnung erfolgt mit der übernächsten Quartalsabrechnung. Einwendungen der PIA sollen nach Möglichkeit bis zu Verrechnung bilateral geklärt werden. </w:t>
      </w:r>
    </w:p>
    <w:p w14:paraId="37A674BA" w14:textId="77777777" w:rsidR="001A71DA" w:rsidRDefault="001A71DA">
      <w:pPr>
        <w:spacing w:line="360" w:lineRule="auto"/>
        <w:rPr>
          <w:iCs/>
          <w:color w:val="000000"/>
        </w:rPr>
      </w:pPr>
    </w:p>
    <w:p w14:paraId="07D8C5F6" w14:textId="77777777" w:rsidR="001A71DA" w:rsidRDefault="004E5305">
      <w:pPr>
        <w:spacing w:line="360" w:lineRule="auto"/>
        <w:jc w:val="center"/>
        <w:rPr>
          <w:b/>
          <w:color w:val="000000"/>
        </w:rPr>
      </w:pPr>
      <w:r>
        <w:rPr>
          <w:b/>
          <w:color w:val="000000"/>
        </w:rPr>
        <w:t>§ 6</w:t>
      </w:r>
    </w:p>
    <w:p w14:paraId="222F1F4C" w14:textId="77777777" w:rsidR="001A71DA" w:rsidRDefault="004E5305">
      <w:pPr>
        <w:spacing w:line="360" w:lineRule="auto"/>
        <w:ind w:left="720" w:hanging="720"/>
        <w:jc w:val="center"/>
        <w:rPr>
          <w:b/>
          <w:color w:val="000000"/>
        </w:rPr>
      </w:pPr>
      <w:r>
        <w:rPr>
          <w:b/>
          <w:color w:val="000000"/>
        </w:rPr>
        <w:t>Kündigung</w:t>
      </w:r>
    </w:p>
    <w:p w14:paraId="04D0718B" w14:textId="77777777" w:rsidR="001A71DA" w:rsidRDefault="001A71DA">
      <w:pPr>
        <w:ind w:left="720" w:hanging="720"/>
        <w:jc w:val="both"/>
        <w:rPr>
          <w:color w:val="000000"/>
        </w:rPr>
      </w:pPr>
    </w:p>
    <w:p w14:paraId="4BA0872F" w14:textId="77777777" w:rsidR="001A71DA" w:rsidRDefault="004E5305">
      <w:pPr>
        <w:numPr>
          <w:ilvl w:val="0"/>
          <w:numId w:val="11"/>
        </w:numPr>
        <w:spacing w:line="360" w:lineRule="auto"/>
        <w:ind w:hanging="720"/>
        <w:rPr>
          <w:color w:val="000000"/>
        </w:rPr>
      </w:pPr>
      <w:r>
        <w:rPr>
          <w:color w:val="000000"/>
        </w:rPr>
        <w:t>Diese Anlage oder ihre Anhänge können auf Verlangen eines Vereinbarungspartners ganz oder teilweise einvernehmlich angepasst werden, ohne dass es einer Kündigung bedarf und ohne die Gültigkeit der übrigen Regelungen der obengenannten Vereinbarung zu berühren.</w:t>
      </w:r>
    </w:p>
    <w:p w14:paraId="686EFDEC" w14:textId="77777777" w:rsidR="001A71DA" w:rsidRDefault="001A71DA">
      <w:pPr>
        <w:spacing w:line="360" w:lineRule="auto"/>
        <w:rPr>
          <w:color w:val="000000"/>
        </w:rPr>
      </w:pPr>
    </w:p>
    <w:p w14:paraId="0F9AF764" w14:textId="590429FE" w:rsidR="00CF53D4" w:rsidRPr="00CF53D4" w:rsidRDefault="004E5305" w:rsidP="00CF53D4">
      <w:pPr>
        <w:numPr>
          <w:ilvl w:val="0"/>
          <w:numId w:val="11"/>
        </w:numPr>
        <w:spacing w:line="360" w:lineRule="auto"/>
        <w:ind w:hanging="720"/>
        <w:rPr>
          <w:color w:val="000000"/>
        </w:rPr>
      </w:pPr>
      <w:r>
        <w:rPr>
          <w:color w:val="000000"/>
        </w:rPr>
        <w:t>Diese Anlage kann mit einer Frist von 6 Monaten zum Ende eines Kalenderjahres von einer Vereinbarungspartei gesondert gekündigt werden. Die Regelungen dieser Anlage gelten jedoch bis zum Abschluss einer sie ersetzenden Anlage weiter, soweit gesetzlich</w:t>
      </w:r>
      <w:r w:rsidR="00FA5687">
        <w:rPr>
          <w:color w:val="000000"/>
        </w:rPr>
        <w:t>e Regelungen dem nicht entgegen</w:t>
      </w:r>
      <w:r>
        <w:rPr>
          <w:color w:val="000000"/>
        </w:rPr>
        <w:t xml:space="preserve">stehen. Auch im Falle einer Kündigung bleiben die übrigen Regelungen der Vereinbarung und ihrer Anlagen unberührt. </w:t>
      </w:r>
    </w:p>
    <w:p w14:paraId="5B140727" w14:textId="0FCBDD6D" w:rsidR="001A71DA" w:rsidRDefault="001A71DA">
      <w:pPr>
        <w:spacing w:line="360" w:lineRule="auto"/>
        <w:rPr>
          <w:color w:val="000000"/>
        </w:rPr>
      </w:pPr>
    </w:p>
    <w:sectPr w:rsidR="001A71DA">
      <w:footerReference w:type="even" r:id="rId8"/>
      <w:footerReference w:type="default" r:id="rId9"/>
      <w:pgSz w:w="11906" w:h="16838"/>
      <w:pgMar w:top="1259" w:right="1418"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F1833" w14:textId="77777777" w:rsidR="001A71DA" w:rsidRDefault="004E5305">
      <w:r>
        <w:separator/>
      </w:r>
    </w:p>
  </w:endnote>
  <w:endnote w:type="continuationSeparator" w:id="0">
    <w:p w14:paraId="122D068C" w14:textId="77777777" w:rsidR="001A71DA" w:rsidRDefault="004E5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8308" w14:textId="77777777" w:rsidR="001A71DA" w:rsidRDefault="004E5305">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B99A2D9" w14:textId="77777777" w:rsidR="001A71DA" w:rsidRDefault="001A71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1101" w14:textId="35D3758B" w:rsidR="00D81945" w:rsidRPr="00D81945" w:rsidRDefault="00BB3B76" w:rsidP="00D81945">
    <w:r>
      <w:rPr>
        <w:sz w:val="18"/>
        <w:szCs w:val="18"/>
      </w:rPr>
      <w:t>Anlage 3</w:t>
    </w:r>
    <w:r w:rsidR="00D81945" w:rsidRPr="00D81945">
      <w:rPr>
        <w:sz w:val="18"/>
        <w:szCs w:val="18"/>
      </w:rPr>
      <w:t xml:space="preserve"> zur Vereinbarung gem. §§ 113, 118 und 120 SGB V </w:t>
    </w:r>
    <w:r w:rsidR="007D7878">
      <w:rPr>
        <w:sz w:val="18"/>
        <w:szCs w:val="18"/>
      </w:rPr>
      <w:t xml:space="preserve">zu </w:t>
    </w:r>
    <w:r w:rsidR="00D81945" w:rsidRPr="00D81945">
      <w:rPr>
        <w:sz w:val="18"/>
        <w:szCs w:val="18"/>
      </w:rPr>
      <w:t xml:space="preserve">PIA vom </w:t>
    </w:r>
    <w:r w:rsidR="008F5608">
      <w:rPr>
        <w:sz w:val="18"/>
        <w:szCs w:val="18"/>
      </w:rPr>
      <w:t>0</w:t>
    </w:r>
    <w:r w:rsidR="00D81945" w:rsidRPr="00D81945">
      <w:rPr>
        <w:sz w:val="18"/>
        <w:szCs w:val="18"/>
      </w:rPr>
      <w:t>1.</w:t>
    </w:r>
    <w:r w:rsidR="008F5608">
      <w:rPr>
        <w:sz w:val="18"/>
        <w:szCs w:val="18"/>
      </w:rPr>
      <w:t>0</w:t>
    </w:r>
    <w:r w:rsidR="00D81945" w:rsidRPr="00D81945">
      <w:rPr>
        <w:sz w:val="18"/>
        <w:szCs w:val="18"/>
      </w:rPr>
      <w:t>1.2021</w:t>
    </w:r>
  </w:p>
  <w:p w14:paraId="43C42C27" w14:textId="72F9D987" w:rsidR="00D81945" w:rsidRPr="00D81945" w:rsidRDefault="00D81945" w:rsidP="00D81945">
    <w:pPr>
      <w:tabs>
        <w:tab w:val="center" w:pos="4536"/>
        <w:tab w:val="right" w:pos="9072"/>
      </w:tabs>
      <w:jc w:val="right"/>
      <w:rPr>
        <w:sz w:val="16"/>
        <w:szCs w:val="16"/>
      </w:rPr>
    </w:pPr>
    <w:r w:rsidRPr="00D81945">
      <w:rPr>
        <w:sz w:val="16"/>
        <w:szCs w:val="16"/>
      </w:rPr>
      <w:fldChar w:fldCharType="begin"/>
    </w:r>
    <w:r w:rsidRPr="00D81945">
      <w:rPr>
        <w:sz w:val="16"/>
        <w:szCs w:val="16"/>
      </w:rPr>
      <w:instrText>PAGE   \* MERGEFORMAT</w:instrText>
    </w:r>
    <w:r w:rsidRPr="00D81945">
      <w:rPr>
        <w:sz w:val="16"/>
        <w:szCs w:val="16"/>
      </w:rPr>
      <w:fldChar w:fldCharType="separate"/>
    </w:r>
    <w:r w:rsidR="007D7878">
      <w:rPr>
        <w:noProof/>
        <w:sz w:val="16"/>
        <w:szCs w:val="16"/>
      </w:rPr>
      <w:t>3</w:t>
    </w:r>
    <w:r w:rsidRPr="00D81945">
      <w:rPr>
        <w:sz w:val="16"/>
        <w:szCs w:val="16"/>
      </w:rPr>
      <w:fldChar w:fldCharType="end"/>
    </w:r>
    <w:r>
      <w:rPr>
        <w:sz w:val="16"/>
        <w:szCs w:val="16"/>
      </w:rPr>
      <w:t>/3</w:t>
    </w:r>
  </w:p>
  <w:p w14:paraId="2505AC97" w14:textId="683075E0" w:rsidR="00D81945" w:rsidRPr="00D81945" w:rsidRDefault="00D81945" w:rsidP="00D819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54727" w14:textId="77777777" w:rsidR="001A71DA" w:rsidRDefault="004E5305">
      <w:r>
        <w:separator/>
      </w:r>
    </w:p>
  </w:footnote>
  <w:footnote w:type="continuationSeparator" w:id="0">
    <w:p w14:paraId="79C65B1D" w14:textId="77777777" w:rsidR="001A71DA" w:rsidRDefault="004E5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93F51"/>
    <w:multiLevelType w:val="hybridMultilevel"/>
    <w:tmpl w:val="B7F85B5C"/>
    <w:lvl w:ilvl="0" w:tplc="7B583DC2">
      <w:start w:val="2"/>
      <w:numFmt w:val="decimal"/>
      <w:lvlText w:val="%1"/>
      <w:lvlJc w:val="left"/>
      <w:pPr>
        <w:tabs>
          <w:tab w:val="num" w:pos="2912"/>
        </w:tabs>
        <w:ind w:left="2912" w:hanging="360"/>
      </w:pPr>
      <w:rPr>
        <w:rFonts w:hint="default"/>
      </w:rPr>
    </w:lvl>
    <w:lvl w:ilvl="1" w:tplc="04070019" w:tentative="1">
      <w:start w:val="1"/>
      <w:numFmt w:val="lowerLetter"/>
      <w:lvlText w:val="%2."/>
      <w:lvlJc w:val="left"/>
      <w:pPr>
        <w:tabs>
          <w:tab w:val="num" w:pos="3632"/>
        </w:tabs>
        <w:ind w:left="3632" w:hanging="360"/>
      </w:pPr>
    </w:lvl>
    <w:lvl w:ilvl="2" w:tplc="0407001B" w:tentative="1">
      <w:start w:val="1"/>
      <w:numFmt w:val="lowerRoman"/>
      <w:lvlText w:val="%3."/>
      <w:lvlJc w:val="right"/>
      <w:pPr>
        <w:tabs>
          <w:tab w:val="num" w:pos="4352"/>
        </w:tabs>
        <w:ind w:left="4352" w:hanging="180"/>
      </w:pPr>
    </w:lvl>
    <w:lvl w:ilvl="3" w:tplc="0407000F" w:tentative="1">
      <w:start w:val="1"/>
      <w:numFmt w:val="decimal"/>
      <w:lvlText w:val="%4."/>
      <w:lvlJc w:val="left"/>
      <w:pPr>
        <w:tabs>
          <w:tab w:val="num" w:pos="5072"/>
        </w:tabs>
        <w:ind w:left="5072" w:hanging="360"/>
      </w:pPr>
    </w:lvl>
    <w:lvl w:ilvl="4" w:tplc="04070019" w:tentative="1">
      <w:start w:val="1"/>
      <w:numFmt w:val="lowerLetter"/>
      <w:lvlText w:val="%5."/>
      <w:lvlJc w:val="left"/>
      <w:pPr>
        <w:tabs>
          <w:tab w:val="num" w:pos="5792"/>
        </w:tabs>
        <w:ind w:left="5792" w:hanging="360"/>
      </w:pPr>
    </w:lvl>
    <w:lvl w:ilvl="5" w:tplc="0407001B" w:tentative="1">
      <w:start w:val="1"/>
      <w:numFmt w:val="lowerRoman"/>
      <w:lvlText w:val="%6."/>
      <w:lvlJc w:val="right"/>
      <w:pPr>
        <w:tabs>
          <w:tab w:val="num" w:pos="6512"/>
        </w:tabs>
        <w:ind w:left="6512" w:hanging="180"/>
      </w:pPr>
    </w:lvl>
    <w:lvl w:ilvl="6" w:tplc="0407000F" w:tentative="1">
      <w:start w:val="1"/>
      <w:numFmt w:val="decimal"/>
      <w:lvlText w:val="%7."/>
      <w:lvlJc w:val="left"/>
      <w:pPr>
        <w:tabs>
          <w:tab w:val="num" w:pos="7232"/>
        </w:tabs>
        <w:ind w:left="7232" w:hanging="360"/>
      </w:pPr>
    </w:lvl>
    <w:lvl w:ilvl="7" w:tplc="04070019" w:tentative="1">
      <w:start w:val="1"/>
      <w:numFmt w:val="lowerLetter"/>
      <w:lvlText w:val="%8."/>
      <w:lvlJc w:val="left"/>
      <w:pPr>
        <w:tabs>
          <w:tab w:val="num" w:pos="7952"/>
        </w:tabs>
        <w:ind w:left="7952" w:hanging="360"/>
      </w:pPr>
    </w:lvl>
    <w:lvl w:ilvl="8" w:tplc="0407001B" w:tentative="1">
      <w:start w:val="1"/>
      <w:numFmt w:val="lowerRoman"/>
      <w:lvlText w:val="%9."/>
      <w:lvlJc w:val="right"/>
      <w:pPr>
        <w:tabs>
          <w:tab w:val="num" w:pos="8672"/>
        </w:tabs>
        <w:ind w:left="8672" w:hanging="180"/>
      </w:pPr>
    </w:lvl>
  </w:abstractNum>
  <w:abstractNum w:abstractNumId="1"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01F6C1A"/>
    <w:multiLevelType w:val="hybridMultilevel"/>
    <w:tmpl w:val="B786109E"/>
    <w:lvl w:ilvl="0" w:tplc="C0FCFA80">
      <w:start w:val="7"/>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0CF5E06"/>
    <w:multiLevelType w:val="hybridMultilevel"/>
    <w:tmpl w:val="B8DED3D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23B45F3A"/>
    <w:multiLevelType w:val="hybridMultilevel"/>
    <w:tmpl w:val="0EA2BCA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8D24280"/>
    <w:multiLevelType w:val="hybridMultilevel"/>
    <w:tmpl w:val="D676EDBA"/>
    <w:lvl w:ilvl="0" w:tplc="8690A56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ACE6652"/>
    <w:multiLevelType w:val="hybridMultilevel"/>
    <w:tmpl w:val="5A0040DE"/>
    <w:lvl w:ilvl="0" w:tplc="BCC439C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2E245707"/>
    <w:multiLevelType w:val="hybridMultilevel"/>
    <w:tmpl w:val="CEDE9726"/>
    <w:lvl w:ilvl="0" w:tplc="F2F0A664">
      <w:start w:val="6"/>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9A7E79"/>
    <w:multiLevelType w:val="multilevel"/>
    <w:tmpl w:val="291EB5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F65289"/>
    <w:multiLevelType w:val="hybridMultilevel"/>
    <w:tmpl w:val="3D460D7A"/>
    <w:lvl w:ilvl="0" w:tplc="04070015">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7B56E4"/>
    <w:multiLevelType w:val="hybridMultilevel"/>
    <w:tmpl w:val="93EE82D6"/>
    <w:lvl w:ilvl="0" w:tplc="A63E15FA">
      <w:start w:val="1"/>
      <w:numFmt w:val="decimal"/>
      <w:lvlText w:val="(%1)"/>
      <w:lvlJc w:val="left"/>
      <w:pPr>
        <w:tabs>
          <w:tab w:val="num" w:pos="720"/>
        </w:tabs>
        <w:ind w:left="720" w:hanging="360"/>
      </w:pPr>
      <w:rPr>
        <w:rFonts w:hint="default"/>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3B70417"/>
    <w:multiLevelType w:val="hybridMultilevel"/>
    <w:tmpl w:val="37AE69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4B90F34"/>
    <w:multiLevelType w:val="hybridMultilevel"/>
    <w:tmpl w:val="E806E31A"/>
    <w:lvl w:ilvl="0" w:tplc="04070015">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6540F03"/>
    <w:multiLevelType w:val="hybridMultilevel"/>
    <w:tmpl w:val="0D92F450"/>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B5630C7"/>
    <w:multiLevelType w:val="hybridMultilevel"/>
    <w:tmpl w:val="1AB61F08"/>
    <w:lvl w:ilvl="0" w:tplc="BF721E2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B6F721A"/>
    <w:multiLevelType w:val="hybridMultilevel"/>
    <w:tmpl w:val="42DC4CBC"/>
    <w:lvl w:ilvl="0" w:tplc="8690A56E">
      <w:start w:val="1"/>
      <w:numFmt w:val="decimal"/>
      <w:lvlText w:val="(%1)"/>
      <w:lvlJc w:val="left"/>
      <w:pPr>
        <w:tabs>
          <w:tab w:val="num" w:pos="1776"/>
        </w:tabs>
        <w:ind w:left="1776" w:hanging="360"/>
      </w:pPr>
      <w:rPr>
        <w:rFonts w:hint="default"/>
      </w:rPr>
    </w:lvl>
    <w:lvl w:ilvl="1" w:tplc="04070019" w:tentative="1">
      <w:start w:val="1"/>
      <w:numFmt w:val="lowerLetter"/>
      <w:lvlText w:val="%2."/>
      <w:lvlJc w:val="left"/>
      <w:pPr>
        <w:tabs>
          <w:tab w:val="num" w:pos="2856"/>
        </w:tabs>
        <w:ind w:left="2856" w:hanging="360"/>
      </w:pPr>
    </w:lvl>
    <w:lvl w:ilvl="2" w:tplc="0407001B" w:tentative="1">
      <w:start w:val="1"/>
      <w:numFmt w:val="lowerRoman"/>
      <w:lvlText w:val="%3."/>
      <w:lvlJc w:val="right"/>
      <w:pPr>
        <w:tabs>
          <w:tab w:val="num" w:pos="3576"/>
        </w:tabs>
        <w:ind w:left="3576" w:hanging="180"/>
      </w:pPr>
    </w:lvl>
    <w:lvl w:ilvl="3" w:tplc="0407000F" w:tentative="1">
      <w:start w:val="1"/>
      <w:numFmt w:val="decimal"/>
      <w:lvlText w:val="%4."/>
      <w:lvlJc w:val="left"/>
      <w:pPr>
        <w:tabs>
          <w:tab w:val="num" w:pos="4296"/>
        </w:tabs>
        <w:ind w:left="4296" w:hanging="360"/>
      </w:pPr>
    </w:lvl>
    <w:lvl w:ilvl="4" w:tplc="04070019" w:tentative="1">
      <w:start w:val="1"/>
      <w:numFmt w:val="lowerLetter"/>
      <w:lvlText w:val="%5."/>
      <w:lvlJc w:val="left"/>
      <w:pPr>
        <w:tabs>
          <w:tab w:val="num" w:pos="5016"/>
        </w:tabs>
        <w:ind w:left="5016" w:hanging="360"/>
      </w:pPr>
    </w:lvl>
    <w:lvl w:ilvl="5" w:tplc="0407001B" w:tentative="1">
      <w:start w:val="1"/>
      <w:numFmt w:val="lowerRoman"/>
      <w:lvlText w:val="%6."/>
      <w:lvlJc w:val="right"/>
      <w:pPr>
        <w:tabs>
          <w:tab w:val="num" w:pos="5736"/>
        </w:tabs>
        <w:ind w:left="5736" w:hanging="180"/>
      </w:pPr>
    </w:lvl>
    <w:lvl w:ilvl="6" w:tplc="0407000F" w:tentative="1">
      <w:start w:val="1"/>
      <w:numFmt w:val="decimal"/>
      <w:lvlText w:val="%7."/>
      <w:lvlJc w:val="left"/>
      <w:pPr>
        <w:tabs>
          <w:tab w:val="num" w:pos="6456"/>
        </w:tabs>
        <w:ind w:left="6456" w:hanging="360"/>
      </w:pPr>
    </w:lvl>
    <w:lvl w:ilvl="7" w:tplc="04070019" w:tentative="1">
      <w:start w:val="1"/>
      <w:numFmt w:val="lowerLetter"/>
      <w:lvlText w:val="%8."/>
      <w:lvlJc w:val="left"/>
      <w:pPr>
        <w:tabs>
          <w:tab w:val="num" w:pos="7176"/>
        </w:tabs>
        <w:ind w:left="7176" w:hanging="360"/>
      </w:pPr>
    </w:lvl>
    <w:lvl w:ilvl="8" w:tplc="0407001B" w:tentative="1">
      <w:start w:val="1"/>
      <w:numFmt w:val="lowerRoman"/>
      <w:lvlText w:val="%9."/>
      <w:lvlJc w:val="right"/>
      <w:pPr>
        <w:tabs>
          <w:tab w:val="num" w:pos="7896"/>
        </w:tabs>
        <w:ind w:left="7896" w:hanging="180"/>
      </w:pPr>
    </w:lvl>
  </w:abstractNum>
  <w:abstractNum w:abstractNumId="16" w15:restartNumberingAfterBreak="0">
    <w:nsid w:val="5E3B55EC"/>
    <w:multiLevelType w:val="hybridMultilevel"/>
    <w:tmpl w:val="45F6471A"/>
    <w:lvl w:ilvl="0" w:tplc="B7967852">
      <w:start w:val="2"/>
      <w:numFmt w:val="lowerLetter"/>
      <w:lvlText w:val="%1)"/>
      <w:lvlJc w:val="left"/>
      <w:pPr>
        <w:tabs>
          <w:tab w:val="num" w:pos="1416"/>
        </w:tabs>
        <w:ind w:left="1416" w:hanging="360"/>
      </w:pPr>
      <w:rPr>
        <w:rFonts w:hint="default"/>
      </w:rPr>
    </w:lvl>
    <w:lvl w:ilvl="1" w:tplc="04070019" w:tentative="1">
      <w:start w:val="1"/>
      <w:numFmt w:val="lowerLetter"/>
      <w:lvlText w:val="%2."/>
      <w:lvlJc w:val="left"/>
      <w:pPr>
        <w:tabs>
          <w:tab w:val="num" w:pos="2136"/>
        </w:tabs>
        <w:ind w:left="2136" w:hanging="360"/>
      </w:pPr>
    </w:lvl>
    <w:lvl w:ilvl="2" w:tplc="0407001B" w:tentative="1">
      <w:start w:val="1"/>
      <w:numFmt w:val="lowerRoman"/>
      <w:lvlText w:val="%3."/>
      <w:lvlJc w:val="right"/>
      <w:pPr>
        <w:tabs>
          <w:tab w:val="num" w:pos="2856"/>
        </w:tabs>
        <w:ind w:left="2856" w:hanging="180"/>
      </w:pPr>
    </w:lvl>
    <w:lvl w:ilvl="3" w:tplc="0407000F" w:tentative="1">
      <w:start w:val="1"/>
      <w:numFmt w:val="decimal"/>
      <w:lvlText w:val="%4."/>
      <w:lvlJc w:val="left"/>
      <w:pPr>
        <w:tabs>
          <w:tab w:val="num" w:pos="3576"/>
        </w:tabs>
        <w:ind w:left="3576" w:hanging="360"/>
      </w:pPr>
    </w:lvl>
    <w:lvl w:ilvl="4" w:tplc="04070019" w:tentative="1">
      <w:start w:val="1"/>
      <w:numFmt w:val="lowerLetter"/>
      <w:lvlText w:val="%5."/>
      <w:lvlJc w:val="left"/>
      <w:pPr>
        <w:tabs>
          <w:tab w:val="num" w:pos="4296"/>
        </w:tabs>
        <w:ind w:left="4296" w:hanging="360"/>
      </w:pPr>
    </w:lvl>
    <w:lvl w:ilvl="5" w:tplc="0407001B" w:tentative="1">
      <w:start w:val="1"/>
      <w:numFmt w:val="lowerRoman"/>
      <w:lvlText w:val="%6."/>
      <w:lvlJc w:val="right"/>
      <w:pPr>
        <w:tabs>
          <w:tab w:val="num" w:pos="5016"/>
        </w:tabs>
        <w:ind w:left="5016" w:hanging="180"/>
      </w:pPr>
    </w:lvl>
    <w:lvl w:ilvl="6" w:tplc="0407000F" w:tentative="1">
      <w:start w:val="1"/>
      <w:numFmt w:val="decimal"/>
      <w:lvlText w:val="%7."/>
      <w:lvlJc w:val="left"/>
      <w:pPr>
        <w:tabs>
          <w:tab w:val="num" w:pos="5736"/>
        </w:tabs>
        <w:ind w:left="5736" w:hanging="360"/>
      </w:pPr>
    </w:lvl>
    <w:lvl w:ilvl="7" w:tplc="04070019" w:tentative="1">
      <w:start w:val="1"/>
      <w:numFmt w:val="lowerLetter"/>
      <w:lvlText w:val="%8."/>
      <w:lvlJc w:val="left"/>
      <w:pPr>
        <w:tabs>
          <w:tab w:val="num" w:pos="6456"/>
        </w:tabs>
        <w:ind w:left="6456" w:hanging="360"/>
      </w:pPr>
    </w:lvl>
    <w:lvl w:ilvl="8" w:tplc="0407001B" w:tentative="1">
      <w:start w:val="1"/>
      <w:numFmt w:val="lowerRoman"/>
      <w:lvlText w:val="%9."/>
      <w:lvlJc w:val="right"/>
      <w:pPr>
        <w:tabs>
          <w:tab w:val="num" w:pos="7176"/>
        </w:tabs>
        <w:ind w:left="7176" w:hanging="180"/>
      </w:pPr>
    </w:lvl>
  </w:abstractNum>
  <w:abstractNum w:abstractNumId="17" w15:restartNumberingAfterBreak="0">
    <w:nsid w:val="6B573D8B"/>
    <w:multiLevelType w:val="hybridMultilevel"/>
    <w:tmpl w:val="15B064A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D1F1D4E"/>
    <w:multiLevelType w:val="hybridMultilevel"/>
    <w:tmpl w:val="CD2A76A2"/>
    <w:lvl w:ilvl="0" w:tplc="B1B85956">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11209F3"/>
    <w:multiLevelType w:val="hybridMultilevel"/>
    <w:tmpl w:val="CA8021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FCA4DF7"/>
    <w:multiLevelType w:val="hybridMultilevel"/>
    <w:tmpl w:val="6ACC99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1"/>
  </w:num>
  <w:num w:numId="2">
    <w:abstractNumId w:val="9"/>
  </w:num>
  <w:num w:numId="3">
    <w:abstractNumId w:val="19"/>
  </w:num>
  <w:num w:numId="4">
    <w:abstractNumId w:val="6"/>
  </w:num>
  <w:num w:numId="5">
    <w:abstractNumId w:val="16"/>
  </w:num>
  <w:num w:numId="6">
    <w:abstractNumId w:val="20"/>
  </w:num>
  <w:num w:numId="7">
    <w:abstractNumId w:val="13"/>
  </w:num>
  <w:num w:numId="8">
    <w:abstractNumId w:val="0"/>
  </w:num>
  <w:num w:numId="9">
    <w:abstractNumId w:val="4"/>
  </w:num>
  <w:num w:numId="10">
    <w:abstractNumId w:val="3"/>
  </w:num>
  <w:num w:numId="11">
    <w:abstractNumId w:val="1"/>
  </w:num>
  <w:num w:numId="12">
    <w:abstractNumId w:val="8"/>
  </w:num>
  <w:num w:numId="13">
    <w:abstractNumId w:val="5"/>
  </w:num>
  <w:num w:numId="14">
    <w:abstractNumId w:val="15"/>
  </w:num>
  <w:num w:numId="15">
    <w:abstractNumId w:val="18"/>
  </w:num>
  <w:num w:numId="16">
    <w:abstractNumId w:val="14"/>
  </w:num>
  <w:num w:numId="17">
    <w:abstractNumId w:val="17"/>
  </w:num>
  <w:num w:numId="18">
    <w:abstractNumId w:val="12"/>
  </w:num>
  <w:num w:numId="19">
    <w:abstractNumId w:val="7"/>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oNotHyphenateCaps/>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201"/>
    <w:rsid w:val="0003266E"/>
    <w:rsid w:val="0005781D"/>
    <w:rsid w:val="00092876"/>
    <w:rsid w:val="000B08FA"/>
    <w:rsid w:val="000C244B"/>
    <w:rsid w:val="000C6205"/>
    <w:rsid w:val="00105437"/>
    <w:rsid w:val="001155E6"/>
    <w:rsid w:val="00123707"/>
    <w:rsid w:val="00160C38"/>
    <w:rsid w:val="001A71DA"/>
    <w:rsid w:val="001E48F2"/>
    <w:rsid w:val="001F35BD"/>
    <w:rsid w:val="00231D20"/>
    <w:rsid w:val="00257CAF"/>
    <w:rsid w:val="002939A7"/>
    <w:rsid w:val="003526E6"/>
    <w:rsid w:val="0036158A"/>
    <w:rsid w:val="00373ECA"/>
    <w:rsid w:val="003844F6"/>
    <w:rsid w:val="004349CF"/>
    <w:rsid w:val="004C060B"/>
    <w:rsid w:val="004E5305"/>
    <w:rsid w:val="0055381F"/>
    <w:rsid w:val="005863AB"/>
    <w:rsid w:val="005B562B"/>
    <w:rsid w:val="005E690E"/>
    <w:rsid w:val="00610074"/>
    <w:rsid w:val="00633D20"/>
    <w:rsid w:val="006849C3"/>
    <w:rsid w:val="007213EE"/>
    <w:rsid w:val="007D7878"/>
    <w:rsid w:val="00833DAE"/>
    <w:rsid w:val="008A42C6"/>
    <w:rsid w:val="008F5608"/>
    <w:rsid w:val="00961AF8"/>
    <w:rsid w:val="00967FF1"/>
    <w:rsid w:val="009723DE"/>
    <w:rsid w:val="009D6B45"/>
    <w:rsid w:val="009F69DA"/>
    <w:rsid w:val="00A77526"/>
    <w:rsid w:val="00B4062A"/>
    <w:rsid w:val="00B458ED"/>
    <w:rsid w:val="00B632C8"/>
    <w:rsid w:val="00B90005"/>
    <w:rsid w:val="00BB3B76"/>
    <w:rsid w:val="00BC4C07"/>
    <w:rsid w:val="00C03247"/>
    <w:rsid w:val="00C40201"/>
    <w:rsid w:val="00C8184E"/>
    <w:rsid w:val="00CF30BD"/>
    <w:rsid w:val="00CF53D4"/>
    <w:rsid w:val="00D17682"/>
    <w:rsid w:val="00D45BBE"/>
    <w:rsid w:val="00D81945"/>
    <w:rsid w:val="00D90E96"/>
    <w:rsid w:val="00DA554B"/>
    <w:rsid w:val="00DB10ED"/>
    <w:rsid w:val="00DC2140"/>
    <w:rsid w:val="00DD1B99"/>
    <w:rsid w:val="00F020F0"/>
    <w:rsid w:val="00F03844"/>
    <w:rsid w:val="00F80439"/>
    <w:rsid w:val="00F91853"/>
    <w:rsid w:val="00FA35ED"/>
    <w:rsid w:val="00FA5687"/>
    <w:rsid w:val="00FB2FAE"/>
    <w:rsid w:val="00FB37C8"/>
    <w:rsid w:val="00FD034B"/>
    <w:rsid w:val="00FD6E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1E4664E1"/>
  <w15:docId w15:val="{6A4C4A88-BE04-4C99-AC5B-C8239CE1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pPr>
      <w:keepNext/>
      <w:spacing w:before="240" w:after="60"/>
      <w:outlineLvl w:val="1"/>
    </w:pPr>
    <w:rPr>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berschrift2">
    <w:name w:val="Formatvorlage Überschrift 2"/>
    <w:basedOn w:val="berschrift2"/>
    <w:pPr>
      <w:spacing w:before="480" w:after="240" w:line="312" w:lineRule="auto"/>
      <w:jc w:val="center"/>
    </w:pPr>
    <w:rPr>
      <w:rFonts w:cs="Times New Roman"/>
      <w:i w:val="0"/>
      <w:iCs w:val="0"/>
      <w:sz w:val="22"/>
      <w:szCs w:val="20"/>
    </w:rPr>
  </w:style>
  <w:style w:type="paragraph" w:styleId="Textkrper">
    <w:name w:val="Body Text"/>
    <w:basedOn w:val="Standard"/>
    <w:semiHidden/>
    <w:rPr>
      <w:sz w:val="24"/>
      <w:szCs w:val="24"/>
    </w:rPr>
  </w:style>
  <w:style w:type="paragraph" w:styleId="Textkrper-Zeileneinzug">
    <w:name w:val="Body Text Indent"/>
    <w:basedOn w:val="Standard"/>
    <w:semiHidden/>
    <w:pPr>
      <w:spacing w:line="360" w:lineRule="auto"/>
      <w:ind w:left="720"/>
      <w:jc w:val="both"/>
    </w:p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Sprechblasentext">
    <w:name w:val="Balloon Text"/>
    <w:basedOn w:val="Standard"/>
    <w:semiHidden/>
    <w:rPr>
      <w:rFonts w:ascii="Tahoma" w:hAnsi="Tahoma" w:cs="Tahoma"/>
      <w:sz w:val="16"/>
      <w:szCs w:val="16"/>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pPr>
  </w:style>
  <w:style w:type="paragraph" w:styleId="Kommentarthema">
    <w:name w:val="annotation subject"/>
    <w:basedOn w:val="Kommentartext"/>
    <w:next w:val="Kommentartext"/>
    <w:semiHidden/>
    <w:rPr>
      <w:b/>
      <w:bCs/>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Einzug2">
    <w:name w:val="Body Text Indent 2"/>
    <w:basedOn w:val="Standard"/>
    <w:semiHidden/>
    <w:pPr>
      <w:spacing w:line="360" w:lineRule="auto"/>
      <w:ind w:left="720" w:hanging="720"/>
      <w:jc w:val="both"/>
    </w:pPr>
  </w:style>
  <w:style w:type="paragraph" w:styleId="Textkrper-Einzug3">
    <w:name w:val="Body Text Indent 3"/>
    <w:basedOn w:val="Standard"/>
    <w:semiHidden/>
    <w:pPr>
      <w:spacing w:line="360" w:lineRule="auto"/>
      <w:ind w:left="720" w:hanging="720"/>
    </w:pPr>
  </w:style>
  <w:style w:type="paragraph" w:styleId="Listenabsatz">
    <w:name w:val="List Paragraph"/>
    <w:basedOn w:val="Standard"/>
    <w:uiPriority w:val="34"/>
    <w:qFormat/>
    <w:rsid w:val="00CF53D4"/>
    <w:pPr>
      <w:ind w:left="720"/>
      <w:contextualSpacing/>
    </w:pPr>
  </w:style>
  <w:style w:type="character" w:customStyle="1" w:styleId="FuzeileZchn">
    <w:name w:val="Fußzeile Zchn"/>
    <w:basedOn w:val="Absatz-Standardschriftart"/>
    <w:link w:val="Fuzeile"/>
    <w:uiPriority w:val="99"/>
    <w:rsid w:val="001F35BD"/>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5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97DD3-88E0-4C4C-ACA7-4729B45B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4170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Anlage 2 (neu) zu § 9 der Vereinbarung gemäß §§ 118 und 120 SGB V über die Erbringung, Vergütung und Abrechnung von Leistungen der Psychiatrischen Institutsambulanzen</vt:lpstr>
    </vt:vector>
  </TitlesOfParts>
  <Company>Verband der bayrischen Bezirke</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 (neu) zu § 9 der Vereinbarung gemäß §§ 118 und 120 SGB V über die Erbringung, Vergütung und Abrechnung von Leistungen der Psychiatrischen Institutsambulanzen</dc:title>
  <dc:creator>Lieb,Juliane</dc:creator>
  <cp:lastModifiedBy>Katharina Schmidt</cp:lastModifiedBy>
  <cp:revision>6</cp:revision>
  <cp:lastPrinted>2021-03-16T11:56:00Z</cp:lastPrinted>
  <dcterms:created xsi:type="dcterms:W3CDTF">2021-03-16T11:14:00Z</dcterms:created>
  <dcterms:modified xsi:type="dcterms:W3CDTF">2021-03-18T11:23:00Z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