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6F2F5" w14:textId="77777777" w:rsidR="001D6416" w:rsidRDefault="001D6416" w:rsidP="00DD1EBC">
      <w:pPr>
        <w:spacing w:before="360"/>
        <w:rPr>
          <w:b/>
          <w:color w:val="000000" w:themeColor="text1"/>
          <w:sz w:val="24"/>
        </w:rPr>
      </w:pPr>
    </w:p>
    <w:p w14:paraId="1CDD7E9E" w14:textId="44CA3383" w:rsidR="002919E1" w:rsidRPr="001B1C71" w:rsidRDefault="000E173B" w:rsidP="00DD1EBC">
      <w:pPr>
        <w:spacing w:before="360"/>
        <w:rPr>
          <w:b/>
          <w:color w:val="000000" w:themeColor="text1"/>
          <w:sz w:val="24"/>
        </w:rPr>
      </w:pPr>
      <w:r w:rsidRPr="001B1C71">
        <w:rPr>
          <w:b/>
          <w:color w:val="000000" w:themeColor="text1"/>
          <w:sz w:val="24"/>
        </w:rPr>
        <w:t>Bewertung der technischen Auswertbarkeit (TA)</w:t>
      </w:r>
    </w:p>
    <w:p w14:paraId="784F22AD" w14:textId="77777777" w:rsidR="00C8440D" w:rsidRPr="00447D63" w:rsidRDefault="00C8440D" w:rsidP="000E173B">
      <w:pPr>
        <w:rPr>
          <w:sz w:val="10"/>
          <w:szCs w:val="10"/>
        </w:rPr>
      </w:pPr>
    </w:p>
    <w:p w14:paraId="0EF2384B" w14:textId="77777777" w:rsidR="000E173B" w:rsidRDefault="000E173B" w:rsidP="00BD0759">
      <w:pPr>
        <w:jc w:val="both"/>
      </w:pPr>
      <w:r>
        <w:t xml:space="preserve">In der Anlage 3 der </w:t>
      </w:r>
      <w:r w:rsidR="00566A9A">
        <w:t>„</w:t>
      </w:r>
      <w:r>
        <w:t xml:space="preserve">Vereinbarung gemäß </w:t>
      </w:r>
      <w:r w:rsidRPr="000E173B">
        <w:t>§§ 113, 118 und 120 SGB V über die Erbringung, Vergütung und Abrechnung von Leistungen der Psychiatrischen Institutsambulanzen (PIA)</w:t>
      </w:r>
      <w:r w:rsidR="00566A9A">
        <w:t>“</w:t>
      </w:r>
      <w:r>
        <w:t xml:space="preserve"> ist in § 3 geregelt, dass die Auswertungsstelle den Vereinbarungspartner zum 30.11. des Jahres </w:t>
      </w:r>
      <w:r w:rsidRPr="000E173B">
        <w:t>für die PIA der Erwachsenenpsychiatrie einen Bericht über den Umfang und die technische Auswertbarkeit der von den PIA übermittelten Daten der AmBADO zur Verfügung</w:t>
      </w:r>
      <w:r>
        <w:t xml:space="preserve"> stellt</w:t>
      </w:r>
      <w:r w:rsidRPr="000E173B">
        <w:t>.</w:t>
      </w:r>
      <w:r>
        <w:t xml:space="preserve"> Absatz 1 der Sanktionsregel (§ 5) regelt außerdem, dass </w:t>
      </w:r>
      <w:r w:rsidRPr="000E173B">
        <w:t>die Vergütung von den Kassen bis maximal 5 % der Vergütung für das jeweilige Kalenderjahr gekürzt werden</w:t>
      </w:r>
      <w:r>
        <w:t xml:space="preserve"> kann, wenn weniger als 80 % der Datensätze gemäß dem Bericht nach § 3 Absatz 3 als technisch verwertbar gelten. </w:t>
      </w:r>
    </w:p>
    <w:p w14:paraId="7D664905" w14:textId="77777777" w:rsidR="00C8440D" w:rsidRPr="00C8440D" w:rsidRDefault="00C8440D" w:rsidP="00BD0759">
      <w:pPr>
        <w:jc w:val="both"/>
      </w:pPr>
      <w:r w:rsidRPr="00C8440D">
        <w:rPr>
          <w:u w:val="single"/>
        </w:rPr>
        <w:t>Voraussetzung zu Beurteilung der T</w:t>
      </w:r>
      <w:r w:rsidR="0069310B">
        <w:rPr>
          <w:u w:val="single"/>
        </w:rPr>
        <w:t>A</w:t>
      </w:r>
      <w:r w:rsidRPr="00C8440D">
        <w:rPr>
          <w:u w:val="single"/>
        </w:rPr>
        <w:t>:</w:t>
      </w:r>
      <w:r>
        <w:t xml:space="preserve"> </w:t>
      </w:r>
      <w:r w:rsidRPr="00C8440D">
        <w:t xml:space="preserve">die Datendatei </w:t>
      </w:r>
      <w:r>
        <w:t xml:space="preserve">muss </w:t>
      </w:r>
      <w:r w:rsidRPr="00C8440D">
        <w:t xml:space="preserve">fehlerfrei eingelesen werden </w:t>
      </w:r>
      <w:r>
        <w:t>können</w:t>
      </w:r>
      <w:r w:rsidRPr="00C8440D">
        <w:t xml:space="preserve">. BIDAQ behält sich vor, Datenlieferungen abzuweisen, wenn ein fehlerfreies Einlesen der Datendatei nicht ohne erheblichen Mehraufwand möglich ist. </w:t>
      </w:r>
      <w:r>
        <w:t>Die Voraussetzungen, die ein fehlerfreies Einlesen ermöglichen</w:t>
      </w:r>
      <w:r w:rsidR="008832E1">
        <w:t>,</w:t>
      </w:r>
      <w:r>
        <w:t xml:space="preserve"> werden von BIDAQ an die Häuser kommuniziert.</w:t>
      </w:r>
    </w:p>
    <w:p w14:paraId="580C325C" w14:textId="77777777" w:rsidR="00C8440D" w:rsidRDefault="00C8440D" w:rsidP="00BD0759">
      <w:pPr>
        <w:jc w:val="both"/>
      </w:pPr>
      <w:r>
        <w:t>Die Beurteilung der TA erfolgt in zwei Stufen:</w:t>
      </w:r>
    </w:p>
    <w:p w14:paraId="66F4E2D7" w14:textId="77777777" w:rsidR="00073B25" w:rsidRDefault="00C8440D" w:rsidP="00BD0759">
      <w:pPr>
        <w:pStyle w:val="Listenabsatz"/>
        <w:numPr>
          <w:ilvl w:val="0"/>
          <w:numId w:val="5"/>
        </w:numPr>
        <w:jc w:val="both"/>
      </w:pPr>
      <w:r w:rsidRPr="001B1C71">
        <w:rPr>
          <w:u w:val="single"/>
        </w:rPr>
        <w:t xml:space="preserve">Für die TA relevante </w:t>
      </w:r>
      <w:r w:rsidR="0039097C">
        <w:rPr>
          <w:u w:val="single"/>
        </w:rPr>
        <w:t>Datensätze</w:t>
      </w:r>
      <w:r>
        <w:t xml:space="preserve">: </w:t>
      </w:r>
      <w:r w:rsidRPr="00C8440D">
        <w:t>Zur Ermittlung der Grundgesamtheit als Basis zur Berechnung der TA werden vorab alle Datensätze</w:t>
      </w:r>
      <w:r w:rsidR="008832E1">
        <w:t xml:space="preserve"> (entspricht einem AmBADO-Fall)</w:t>
      </w:r>
      <w:r w:rsidRPr="00C8440D">
        <w:t xml:space="preserve"> deaktiviert, die für das entsprechende Berichtsjahr nicht relevant sind</w:t>
      </w:r>
      <w:r w:rsidR="008832E1">
        <w:t>.</w:t>
      </w:r>
      <w:r w:rsidR="00DF06A0">
        <w:t xml:space="preserve"> </w:t>
      </w:r>
      <w:r w:rsidR="008832E1">
        <w:t xml:space="preserve">Die Prüfschritte 1 und 2 führen zur Deaktivierung der Datensätze: </w:t>
      </w:r>
    </w:p>
    <w:p w14:paraId="5BAF2FC4" w14:textId="77777777" w:rsidR="00333504" w:rsidRDefault="00333504" w:rsidP="00333504">
      <w:pPr>
        <w:pStyle w:val="Listenabsatz"/>
        <w:ind w:left="360"/>
      </w:pPr>
    </w:p>
    <w:tbl>
      <w:tblPr>
        <w:tblStyle w:val="Tabellenraster"/>
        <w:tblW w:w="0" w:type="auto"/>
        <w:tblInd w:w="500" w:type="dxa"/>
        <w:tblLook w:val="04A0" w:firstRow="1" w:lastRow="0" w:firstColumn="1" w:lastColumn="0" w:noHBand="0" w:noVBand="1"/>
      </w:tblPr>
      <w:tblGrid>
        <w:gridCol w:w="351"/>
        <w:gridCol w:w="417"/>
        <w:gridCol w:w="424"/>
        <w:gridCol w:w="6562"/>
        <w:gridCol w:w="1034"/>
      </w:tblGrid>
      <w:tr w:rsidR="00333504" w:rsidRPr="001B1C71" w14:paraId="257F3AD5" w14:textId="77777777" w:rsidTr="008C7FBB">
        <w:tc>
          <w:tcPr>
            <w:tcW w:w="280" w:type="dxa"/>
            <w:tcBorders>
              <w:right w:val="nil"/>
            </w:tcBorders>
            <w:shd w:val="clear" w:color="auto" w:fill="2E74B5" w:themeFill="accent1" w:themeFillShade="BF"/>
          </w:tcPr>
          <w:p w14:paraId="6AC84DFD" w14:textId="77777777" w:rsidR="00333504" w:rsidRPr="001B1C71" w:rsidRDefault="00333504" w:rsidP="00333504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418" w:type="dxa"/>
            <w:tcBorders>
              <w:left w:val="nil"/>
              <w:right w:val="nil"/>
            </w:tcBorders>
            <w:shd w:val="clear" w:color="auto" w:fill="2E74B5" w:themeFill="accent1" w:themeFillShade="BF"/>
          </w:tcPr>
          <w:p w14:paraId="2164D04F" w14:textId="77777777" w:rsidR="00333504" w:rsidRPr="001B1C71" w:rsidRDefault="00333504" w:rsidP="00333504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2E74B5" w:themeFill="accent1" w:themeFillShade="BF"/>
          </w:tcPr>
          <w:p w14:paraId="339821AB" w14:textId="77777777" w:rsidR="00333504" w:rsidRPr="001B1C71" w:rsidRDefault="00333504" w:rsidP="00333504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6602" w:type="dxa"/>
            <w:shd w:val="clear" w:color="auto" w:fill="2E74B5" w:themeFill="accent1" w:themeFillShade="BF"/>
          </w:tcPr>
          <w:p w14:paraId="6E507516" w14:textId="77777777" w:rsidR="00333504" w:rsidRPr="001B1C71" w:rsidRDefault="00333504" w:rsidP="0039097C">
            <w:pPr>
              <w:pStyle w:val="Listenabsatz"/>
              <w:ind w:left="0"/>
              <w:rPr>
                <w:b/>
              </w:rPr>
            </w:pPr>
            <w:r w:rsidRPr="001B1C71">
              <w:rPr>
                <w:b/>
              </w:rPr>
              <w:t xml:space="preserve">Für die TA relevante </w:t>
            </w:r>
            <w:r w:rsidR="0039097C">
              <w:rPr>
                <w:b/>
              </w:rPr>
              <w:t>Datensätze</w:t>
            </w:r>
          </w:p>
        </w:tc>
        <w:tc>
          <w:tcPr>
            <w:tcW w:w="1036" w:type="dxa"/>
            <w:shd w:val="clear" w:color="auto" w:fill="2E74B5" w:themeFill="accent1" w:themeFillShade="BF"/>
          </w:tcPr>
          <w:p w14:paraId="1FA8B046" w14:textId="77777777" w:rsidR="00333504" w:rsidRPr="001B1C71" w:rsidRDefault="00333504" w:rsidP="00333504">
            <w:pPr>
              <w:pStyle w:val="Listenabsatz"/>
              <w:ind w:left="0"/>
              <w:rPr>
                <w:b/>
              </w:rPr>
            </w:pPr>
            <w:r w:rsidRPr="001B1C71">
              <w:rPr>
                <w:b/>
              </w:rPr>
              <w:t>Anzahl</w:t>
            </w:r>
          </w:p>
        </w:tc>
      </w:tr>
      <w:tr w:rsidR="00333504" w:rsidRPr="00447D63" w14:paraId="728D7457" w14:textId="77777777" w:rsidTr="008C7FBB">
        <w:tc>
          <w:tcPr>
            <w:tcW w:w="280" w:type="dxa"/>
            <w:tcBorders>
              <w:right w:val="nil"/>
            </w:tcBorders>
            <w:shd w:val="clear" w:color="auto" w:fill="BDD6EE" w:themeFill="accent1" w:themeFillTint="66"/>
          </w:tcPr>
          <w:p w14:paraId="1D00C935" w14:textId="77777777" w:rsidR="00333504" w:rsidRPr="00447D63" w:rsidRDefault="00333504" w:rsidP="00333504">
            <w:pPr>
              <w:pStyle w:val="Listenabsatz"/>
              <w:ind w:left="0"/>
              <w:rPr>
                <w:b/>
              </w:rPr>
            </w:pPr>
            <w:r w:rsidRPr="00447D63">
              <w:rPr>
                <w:b/>
              </w:rPr>
              <w:t>A</w:t>
            </w:r>
          </w:p>
        </w:tc>
        <w:tc>
          <w:tcPr>
            <w:tcW w:w="418" w:type="dxa"/>
            <w:tcBorders>
              <w:left w:val="nil"/>
              <w:right w:val="nil"/>
            </w:tcBorders>
            <w:shd w:val="clear" w:color="auto" w:fill="BDD6EE" w:themeFill="accent1" w:themeFillTint="66"/>
          </w:tcPr>
          <w:p w14:paraId="4233C933" w14:textId="77777777" w:rsidR="00333504" w:rsidRPr="00447D63" w:rsidRDefault="00333504" w:rsidP="00333504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BDD6EE" w:themeFill="accent1" w:themeFillTint="66"/>
          </w:tcPr>
          <w:p w14:paraId="57BA864A" w14:textId="77777777" w:rsidR="00333504" w:rsidRPr="00447D63" w:rsidRDefault="00333504" w:rsidP="00333504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6602" w:type="dxa"/>
            <w:shd w:val="clear" w:color="auto" w:fill="BDD6EE" w:themeFill="accent1" w:themeFillTint="66"/>
          </w:tcPr>
          <w:p w14:paraId="29BE99C7" w14:textId="77777777" w:rsidR="00333504" w:rsidRPr="00447D63" w:rsidRDefault="00447D63" w:rsidP="00333504">
            <w:pPr>
              <w:pStyle w:val="Listenabsatz"/>
              <w:ind w:left="0"/>
              <w:rPr>
                <w:b/>
              </w:rPr>
            </w:pPr>
            <w:r>
              <w:rPr>
                <w:b/>
              </w:rPr>
              <w:t xml:space="preserve">Anzahl der </w:t>
            </w:r>
            <w:r w:rsidR="00497F7B">
              <w:rPr>
                <w:b/>
              </w:rPr>
              <w:t>g</w:t>
            </w:r>
            <w:r w:rsidR="00333504" w:rsidRPr="00447D63">
              <w:rPr>
                <w:b/>
              </w:rPr>
              <w:t>elieferte Datensätze</w:t>
            </w:r>
          </w:p>
        </w:tc>
        <w:tc>
          <w:tcPr>
            <w:tcW w:w="1036" w:type="dxa"/>
            <w:shd w:val="clear" w:color="auto" w:fill="BDD6EE" w:themeFill="accent1" w:themeFillTint="66"/>
          </w:tcPr>
          <w:p w14:paraId="101E396B" w14:textId="77777777" w:rsidR="00333504" w:rsidRPr="00447D63" w:rsidRDefault="00333504" w:rsidP="00333504">
            <w:pPr>
              <w:pStyle w:val="Listenabsatz"/>
              <w:ind w:left="0"/>
              <w:rPr>
                <w:b/>
              </w:rPr>
            </w:pPr>
          </w:p>
        </w:tc>
      </w:tr>
      <w:tr w:rsidR="00333504" w14:paraId="5F781EDA" w14:textId="77777777" w:rsidTr="008C7FBB">
        <w:tc>
          <w:tcPr>
            <w:tcW w:w="280" w:type="dxa"/>
            <w:tcBorders>
              <w:right w:val="nil"/>
            </w:tcBorders>
          </w:tcPr>
          <w:p w14:paraId="37B52FD5" w14:textId="77777777" w:rsidR="00333504" w:rsidRDefault="00333504" w:rsidP="00333504">
            <w:pPr>
              <w:pStyle w:val="Listenabsatz"/>
              <w:ind w:left="0"/>
            </w:pPr>
          </w:p>
        </w:tc>
        <w:tc>
          <w:tcPr>
            <w:tcW w:w="418" w:type="dxa"/>
            <w:tcBorders>
              <w:left w:val="nil"/>
              <w:right w:val="nil"/>
            </w:tcBorders>
          </w:tcPr>
          <w:p w14:paraId="3CF8CC88" w14:textId="77777777" w:rsidR="00333504" w:rsidRDefault="00333504" w:rsidP="00333504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26" w:type="dxa"/>
            <w:tcBorders>
              <w:left w:val="nil"/>
            </w:tcBorders>
          </w:tcPr>
          <w:p w14:paraId="2FCB4231" w14:textId="77777777" w:rsidR="00333504" w:rsidRPr="0069310B" w:rsidRDefault="00333504" w:rsidP="00333504">
            <w:pPr>
              <w:pStyle w:val="Listenabsatz"/>
              <w:ind w:left="0"/>
            </w:pPr>
          </w:p>
        </w:tc>
        <w:tc>
          <w:tcPr>
            <w:tcW w:w="6602" w:type="dxa"/>
          </w:tcPr>
          <w:p w14:paraId="23B721E7" w14:textId="77777777" w:rsidR="00333504" w:rsidRDefault="00333504" w:rsidP="00333504">
            <w:pPr>
              <w:pStyle w:val="Listenabsatz"/>
              <w:ind w:left="0"/>
            </w:pPr>
            <w:r w:rsidRPr="0069310B">
              <w:t>AmBADO-Fälle mit einem Behandlungsbeginn nach dem Dokumentationsjahr</w:t>
            </w:r>
          </w:p>
        </w:tc>
        <w:tc>
          <w:tcPr>
            <w:tcW w:w="1036" w:type="dxa"/>
          </w:tcPr>
          <w:p w14:paraId="439C5510" w14:textId="77777777" w:rsidR="00333504" w:rsidRDefault="00333504" w:rsidP="00333504">
            <w:pPr>
              <w:pStyle w:val="Listenabsatz"/>
              <w:ind w:left="0"/>
            </w:pPr>
          </w:p>
        </w:tc>
      </w:tr>
      <w:tr w:rsidR="00333504" w14:paraId="19E9C4B8" w14:textId="77777777" w:rsidTr="008C7FBB">
        <w:tc>
          <w:tcPr>
            <w:tcW w:w="280" w:type="dxa"/>
            <w:tcBorders>
              <w:right w:val="nil"/>
            </w:tcBorders>
          </w:tcPr>
          <w:p w14:paraId="1E447B72" w14:textId="77777777" w:rsidR="00333504" w:rsidRDefault="00333504" w:rsidP="00333504">
            <w:pPr>
              <w:pStyle w:val="Listenabsatz"/>
              <w:ind w:left="0"/>
            </w:pPr>
          </w:p>
        </w:tc>
        <w:tc>
          <w:tcPr>
            <w:tcW w:w="418" w:type="dxa"/>
            <w:tcBorders>
              <w:left w:val="nil"/>
              <w:right w:val="nil"/>
            </w:tcBorders>
          </w:tcPr>
          <w:p w14:paraId="44408D9E" w14:textId="77777777" w:rsidR="00333504" w:rsidRDefault="00333504" w:rsidP="00333504">
            <w:pPr>
              <w:pStyle w:val="Listenabsatz"/>
              <w:ind w:left="0"/>
            </w:pPr>
            <w:r>
              <w:t>2</w:t>
            </w:r>
          </w:p>
        </w:tc>
        <w:tc>
          <w:tcPr>
            <w:tcW w:w="426" w:type="dxa"/>
            <w:tcBorders>
              <w:left w:val="nil"/>
            </w:tcBorders>
          </w:tcPr>
          <w:p w14:paraId="7B85D1FE" w14:textId="77777777" w:rsidR="00333504" w:rsidRPr="0069310B" w:rsidRDefault="00333504" w:rsidP="00333504">
            <w:pPr>
              <w:pStyle w:val="Listenabsatz"/>
              <w:ind w:left="0"/>
            </w:pPr>
          </w:p>
        </w:tc>
        <w:tc>
          <w:tcPr>
            <w:tcW w:w="6602" w:type="dxa"/>
          </w:tcPr>
          <w:p w14:paraId="57D5F72E" w14:textId="77777777" w:rsidR="00333504" w:rsidRDefault="00333504" w:rsidP="00333504">
            <w:pPr>
              <w:pStyle w:val="Listenabsatz"/>
              <w:ind w:left="0"/>
            </w:pPr>
            <w:r w:rsidRPr="0069310B">
              <w:t>Beendete AmBADO-Fälle mit einem Behandlungsende vor dem Dokumentationsjahr</w:t>
            </w:r>
          </w:p>
        </w:tc>
        <w:tc>
          <w:tcPr>
            <w:tcW w:w="1036" w:type="dxa"/>
          </w:tcPr>
          <w:p w14:paraId="46788DEE" w14:textId="77777777" w:rsidR="00333504" w:rsidRDefault="00333504" w:rsidP="00333504">
            <w:pPr>
              <w:pStyle w:val="Listenabsatz"/>
              <w:ind w:left="0"/>
            </w:pPr>
          </w:p>
        </w:tc>
      </w:tr>
      <w:tr w:rsidR="00333504" w:rsidRPr="00447D63" w14:paraId="6B7C6421" w14:textId="77777777" w:rsidTr="008C7FBB">
        <w:tc>
          <w:tcPr>
            <w:tcW w:w="280" w:type="dxa"/>
            <w:tcBorders>
              <w:right w:val="nil"/>
            </w:tcBorders>
            <w:shd w:val="clear" w:color="auto" w:fill="BDD6EE" w:themeFill="accent1" w:themeFillTint="66"/>
          </w:tcPr>
          <w:p w14:paraId="382C97D8" w14:textId="77777777" w:rsidR="00333504" w:rsidRPr="00447D63" w:rsidRDefault="00447D63" w:rsidP="00333504">
            <w:pPr>
              <w:pStyle w:val="Listenabsatz"/>
              <w:ind w:left="0"/>
              <w:rPr>
                <w:b/>
              </w:rPr>
            </w:pPr>
            <w:r w:rsidRPr="00447D63">
              <w:rPr>
                <w:b/>
              </w:rPr>
              <w:t>B</w:t>
            </w:r>
          </w:p>
        </w:tc>
        <w:tc>
          <w:tcPr>
            <w:tcW w:w="418" w:type="dxa"/>
            <w:tcBorders>
              <w:left w:val="nil"/>
              <w:right w:val="nil"/>
            </w:tcBorders>
            <w:shd w:val="clear" w:color="auto" w:fill="BDD6EE" w:themeFill="accent1" w:themeFillTint="66"/>
          </w:tcPr>
          <w:p w14:paraId="21C9FA82" w14:textId="77777777" w:rsidR="00333504" w:rsidRPr="00447D63" w:rsidRDefault="00333504" w:rsidP="00333504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BDD6EE" w:themeFill="accent1" w:themeFillTint="66"/>
          </w:tcPr>
          <w:p w14:paraId="5C9C1A2D" w14:textId="77777777" w:rsidR="00333504" w:rsidRPr="00447D63" w:rsidRDefault="00333504" w:rsidP="00333504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6602" w:type="dxa"/>
            <w:shd w:val="clear" w:color="auto" w:fill="BDD6EE" w:themeFill="accent1" w:themeFillTint="66"/>
          </w:tcPr>
          <w:p w14:paraId="6BA51F17" w14:textId="77777777" w:rsidR="00333504" w:rsidRPr="00447D63" w:rsidRDefault="00333504" w:rsidP="00333504">
            <w:pPr>
              <w:pStyle w:val="Listenabsatz"/>
              <w:ind w:left="0"/>
              <w:rPr>
                <w:b/>
              </w:rPr>
            </w:pPr>
            <w:r w:rsidRPr="00447D63">
              <w:rPr>
                <w:b/>
              </w:rPr>
              <w:t>Anzahl der Datensätze, die nicht in das Dokumentationsjahr fallen</w:t>
            </w:r>
          </w:p>
        </w:tc>
        <w:tc>
          <w:tcPr>
            <w:tcW w:w="1036" w:type="dxa"/>
            <w:shd w:val="clear" w:color="auto" w:fill="BDD6EE" w:themeFill="accent1" w:themeFillTint="66"/>
          </w:tcPr>
          <w:p w14:paraId="38A6A107" w14:textId="77777777" w:rsidR="00333504" w:rsidRPr="00447D63" w:rsidRDefault="00333504" w:rsidP="00333504">
            <w:pPr>
              <w:pStyle w:val="Listenabsatz"/>
              <w:ind w:left="0"/>
              <w:rPr>
                <w:b/>
              </w:rPr>
            </w:pPr>
          </w:p>
        </w:tc>
      </w:tr>
      <w:tr w:rsidR="00333504" w:rsidRPr="00447D63" w14:paraId="660AB3E5" w14:textId="77777777" w:rsidTr="008C7FBB">
        <w:tc>
          <w:tcPr>
            <w:tcW w:w="280" w:type="dxa"/>
            <w:tcBorders>
              <w:right w:val="nil"/>
            </w:tcBorders>
            <w:shd w:val="clear" w:color="auto" w:fill="BDD6EE" w:themeFill="accent1" w:themeFillTint="66"/>
          </w:tcPr>
          <w:p w14:paraId="1E1A36FC" w14:textId="77777777" w:rsidR="00333504" w:rsidRPr="00447D63" w:rsidRDefault="00447D63" w:rsidP="00333504">
            <w:pPr>
              <w:pStyle w:val="Listenabsatz"/>
              <w:ind w:left="0"/>
              <w:rPr>
                <w:b/>
              </w:rPr>
            </w:pPr>
            <w:r w:rsidRPr="00447D63">
              <w:rPr>
                <w:b/>
              </w:rPr>
              <w:t>C</w:t>
            </w:r>
          </w:p>
        </w:tc>
        <w:tc>
          <w:tcPr>
            <w:tcW w:w="418" w:type="dxa"/>
            <w:tcBorders>
              <w:left w:val="nil"/>
              <w:right w:val="nil"/>
            </w:tcBorders>
            <w:shd w:val="clear" w:color="auto" w:fill="BDD6EE" w:themeFill="accent1" w:themeFillTint="66"/>
          </w:tcPr>
          <w:p w14:paraId="6EBC11B9" w14:textId="77777777" w:rsidR="00333504" w:rsidRPr="00447D63" w:rsidRDefault="00333504" w:rsidP="00333504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BDD6EE" w:themeFill="accent1" w:themeFillTint="66"/>
          </w:tcPr>
          <w:p w14:paraId="4000DE8B" w14:textId="77777777" w:rsidR="00333504" w:rsidRPr="00447D63" w:rsidRDefault="00333504" w:rsidP="00333504">
            <w:pPr>
              <w:rPr>
                <w:b/>
              </w:rPr>
            </w:pPr>
          </w:p>
        </w:tc>
        <w:tc>
          <w:tcPr>
            <w:tcW w:w="6602" w:type="dxa"/>
            <w:shd w:val="clear" w:color="auto" w:fill="BDD6EE" w:themeFill="accent1" w:themeFillTint="66"/>
            <w:vAlign w:val="center"/>
          </w:tcPr>
          <w:p w14:paraId="7C66498B" w14:textId="77777777" w:rsidR="00333504" w:rsidRPr="00447D63" w:rsidRDefault="001B1C71" w:rsidP="00333504">
            <w:pPr>
              <w:rPr>
                <w:b/>
              </w:rPr>
            </w:pPr>
            <w:r>
              <w:rPr>
                <w:b/>
              </w:rPr>
              <w:t>Anzahl der f</w:t>
            </w:r>
            <w:r w:rsidR="00333504" w:rsidRPr="00447D63">
              <w:rPr>
                <w:b/>
              </w:rPr>
              <w:t>ür die tech</w:t>
            </w:r>
            <w:r>
              <w:rPr>
                <w:b/>
              </w:rPr>
              <w:t xml:space="preserve">nische Auswertbarkeit relevante Datensätze </w:t>
            </w:r>
          </w:p>
          <w:p w14:paraId="7B204B89" w14:textId="77777777" w:rsidR="00333504" w:rsidRPr="00447D63" w:rsidRDefault="00333504" w:rsidP="00333504">
            <w:pPr>
              <w:rPr>
                <w:b/>
              </w:rPr>
            </w:pPr>
          </w:p>
        </w:tc>
        <w:tc>
          <w:tcPr>
            <w:tcW w:w="1036" w:type="dxa"/>
            <w:shd w:val="clear" w:color="auto" w:fill="BDD6EE" w:themeFill="accent1" w:themeFillTint="66"/>
          </w:tcPr>
          <w:p w14:paraId="20FEB24B" w14:textId="77777777" w:rsidR="00333504" w:rsidRPr="00447D63" w:rsidRDefault="00333504" w:rsidP="00333504">
            <w:pPr>
              <w:pStyle w:val="Listenabsatz"/>
              <w:ind w:left="0"/>
              <w:rPr>
                <w:b/>
              </w:rPr>
            </w:pPr>
          </w:p>
        </w:tc>
      </w:tr>
    </w:tbl>
    <w:p w14:paraId="43A4516D" w14:textId="77777777" w:rsidR="00073B25" w:rsidRDefault="00073B25" w:rsidP="0069310B">
      <w:pPr>
        <w:ind w:left="360"/>
      </w:pPr>
    </w:p>
    <w:p w14:paraId="11D49865" w14:textId="77777777" w:rsidR="00447D63" w:rsidRDefault="00073B25" w:rsidP="00BD0759">
      <w:pPr>
        <w:ind w:left="360"/>
        <w:jc w:val="both"/>
      </w:pPr>
      <w:r>
        <w:t xml:space="preserve">Die Differenz aus der </w:t>
      </w:r>
      <w:r w:rsidRPr="00447D63">
        <w:rPr>
          <w:b/>
        </w:rPr>
        <w:t>Anzahl der gelieferten Datensätze</w:t>
      </w:r>
      <w:r>
        <w:t xml:space="preserve"> </w:t>
      </w:r>
      <w:r w:rsidRPr="001B1C71">
        <w:rPr>
          <w:b/>
        </w:rPr>
        <w:t>(A)</w:t>
      </w:r>
      <w:r>
        <w:t xml:space="preserve"> und </w:t>
      </w:r>
      <w:r w:rsidR="001B1C71">
        <w:t xml:space="preserve">der </w:t>
      </w:r>
      <w:r w:rsidR="001B1C71" w:rsidRPr="001B1C71">
        <w:rPr>
          <w:b/>
        </w:rPr>
        <w:t xml:space="preserve">Anzahl der </w:t>
      </w:r>
      <w:r w:rsidR="001B1C71">
        <w:rPr>
          <w:b/>
        </w:rPr>
        <w:t>Datensätze</w:t>
      </w:r>
      <w:r w:rsidRPr="001B1C71">
        <w:rPr>
          <w:b/>
        </w:rPr>
        <w:t>, die nicht in das Dokumentationsjahr</w:t>
      </w:r>
      <w:r>
        <w:t xml:space="preserve"> </w:t>
      </w:r>
      <w:r w:rsidR="00D1127F" w:rsidRPr="001B1C71">
        <w:rPr>
          <w:b/>
        </w:rPr>
        <w:t>(B)</w:t>
      </w:r>
      <w:r w:rsidR="00D1127F">
        <w:t xml:space="preserve"> </w:t>
      </w:r>
      <w:r>
        <w:t>fallen ergibt</w:t>
      </w:r>
      <w:r w:rsidR="00447D63">
        <w:t xml:space="preserve"> </w:t>
      </w:r>
      <w:r w:rsidR="00447D63" w:rsidRPr="001B1C71">
        <w:rPr>
          <w:b/>
        </w:rPr>
        <w:t xml:space="preserve">die </w:t>
      </w:r>
      <w:r w:rsidRPr="001B1C71">
        <w:rPr>
          <w:b/>
        </w:rPr>
        <w:t>Anzahl der für die TA relevanten Datensätze</w:t>
      </w:r>
      <w:r>
        <w:t xml:space="preserve"> </w:t>
      </w:r>
      <w:r w:rsidR="001B1C71">
        <w:rPr>
          <w:b/>
        </w:rPr>
        <w:t>(C</w:t>
      </w:r>
      <w:r w:rsidRPr="001B1C71">
        <w:rPr>
          <w:b/>
        </w:rPr>
        <w:t>)</w:t>
      </w:r>
      <w:r>
        <w:t xml:space="preserve"> als Grundlage zur Beurteilung der TA.</w:t>
      </w:r>
    </w:p>
    <w:p w14:paraId="23E70D58" w14:textId="77777777" w:rsidR="00447D63" w:rsidRDefault="00447D63" w:rsidP="00447D63">
      <w:r>
        <w:br w:type="page"/>
      </w:r>
    </w:p>
    <w:p w14:paraId="71F7BAB6" w14:textId="3A337BD6" w:rsidR="00073B25" w:rsidRDefault="00073B25" w:rsidP="00DD1EBC">
      <w:pPr>
        <w:pStyle w:val="Listenabsatz"/>
        <w:pageBreakBefore/>
        <w:numPr>
          <w:ilvl w:val="0"/>
          <w:numId w:val="5"/>
        </w:numPr>
        <w:spacing w:before="360"/>
        <w:ind w:left="357" w:hanging="357"/>
        <w:contextualSpacing w:val="0"/>
        <w:jc w:val="both"/>
      </w:pPr>
      <w:r w:rsidRPr="001B1C71">
        <w:rPr>
          <w:u w:val="single"/>
        </w:rPr>
        <w:lastRenderedPageBreak/>
        <w:t>Auswertbare Datensätze</w:t>
      </w:r>
      <w:r>
        <w:t xml:space="preserve">: Bestimmte Fehler führen dazu, dass ein Datensatz als </w:t>
      </w:r>
      <w:r w:rsidR="0039097C">
        <w:t xml:space="preserve">technisch </w:t>
      </w:r>
      <w:r>
        <w:t xml:space="preserve">nicht auswertbar definiert und aus dem </w:t>
      </w:r>
      <w:r w:rsidR="00566A9A">
        <w:t>Gesamtd</w:t>
      </w:r>
      <w:r>
        <w:t>atensatz zur Berichterstellung ausgeschlossen wird. Es werden dabei die Angaben zur</w:t>
      </w:r>
      <w:r w:rsidR="00566A9A">
        <w:t xml:space="preserve"> </w:t>
      </w:r>
      <w:r w:rsidR="00EA0EDB">
        <w:t>AmBADO-Fallnummer (FNR)</w:t>
      </w:r>
      <w:r>
        <w:t>, der Bogenart</w:t>
      </w:r>
      <w:r w:rsidR="00566A9A">
        <w:t xml:space="preserve"> (BOA)</w:t>
      </w:r>
      <w:r>
        <w:t xml:space="preserve"> und </w:t>
      </w:r>
      <w:r w:rsidR="001B1C71">
        <w:t xml:space="preserve">dem </w:t>
      </w:r>
      <w:r>
        <w:t>Anfangs</w:t>
      </w:r>
      <w:r w:rsidR="001B1C71">
        <w:t>-</w:t>
      </w:r>
      <w:r>
        <w:t xml:space="preserve"> bzw. Beendigungsdatum geprüft, da diese für die korrekte Identifikation der Stichprobe zur Erstellung der Berichte </w:t>
      </w:r>
      <w:r w:rsidR="001B1C71">
        <w:t>benötigt werden:</w:t>
      </w:r>
    </w:p>
    <w:p w14:paraId="47C2DED7" w14:textId="77777777" w:rsidR="001B1C71" w:rsidRDefault="001B1C71" w:rsidP="001B1C71">
      <w:pPr>
        <w:pStyle w:val="Listenabsatz"/>
        <w:ind w:left="360"/>
      </w:pPr>
    </w:p>
    <w:tbl>
      <w:tblPr>
        <w:tblStyle w:val="Tabellenraster"/>
        <w:tblW w:w="0" w:type="auto"/>
        <w:tblInd w:w="444" w:type="dxa"/>
        <w:tblLayout w:type="fixed"/>
        <w:tblLook w:val="04A0" w:firstRow="1" w:lastRow="0" w:firstColumn="1" w:lastColumn="0" w:noHBand="0" w:noVBand="1"/>
      </w:tblPr>
      <w:tblGrid>
        <w:gridCol w:w="260"/>
        <w:gridCol w:w="236"/>
        <w:gridCol w:w="189"/>
        <w:gridCol w:w="426"/>
        <w:gridCol w:w="6784"/>
        <w:gridCol w:w="882"/>
      </w:tblGrid>
      <w:tr w:rsidR="00333504" w:rsidRPr="001B1C71" w14:paraId="1EC9D7B1" w14:textId="77777777" w:rsidTr="008C7FBB">
        <w:tc>
          <w:tcPr>
            <w:tcW w:w="260" w:type="dxa"/>
            <w:tcBorders>
              <w:right w:val="nil"/>
            </w:tcBorders>
            <w:shd w:val="clear" w:color="auto" w:fill="2E74B5" w:themeFill="accent1" w:themeFillShade="BF"/>
          </w:tcPr>
          <w:p w14:paraId="19EBA85D" w14:textId="77777777" w:rsidR="00333504" w:rsidRPr="001B1C71" w:rsidRDefault="00333504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2E74B5" w:themeFill="accent1" w:themeFillShade="BF"/>
          </w:tcPr>
          <w:p w14:paraId="00A6AB7D" w14:textId="77777777" w:rsidR="00333504" w:rsidRPr="001B1C71" w:rsidRDefault="00333504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2E74B5" w:themeFill="accent1" w:themeFillShade="BF"/>
          </w:tcPr>
          <w:p w14:paraId="150D9AA0" w14:textId="77777777" w:rsidR="00333504" w:rsidRPr="001B1C71" w:rsidRDefault="00333504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6784" w:type="dxa"/>
            <w:shd w:val="clear" w:color="auto" w:fill="2E74B5" w:themeFill="accent1" w:themeFillShade="BF"/>
          </w:tcPr>
          <w:p w14:paraId="45F1B927" w14:textId="77777777" w:rsidR="00333504" w:rsidRPr="001B1C71" w:rsidRDefault="00333504" w:rsidP="00C53A28">
            <w:pPr>
              <w:pStyle w:val="Listenabsatz"/>
              <w:ind w:left="0"/>
              <w:rPr>
                <w:b/>
              </w:rPr>
            </w:pPr>
            <w:r w:rsidRPr="001B1C71">
              <w:rPr>
                <w:b/>
              </w:rPr>
              <w:t>Auswertbare Datensätze</w:t>
            </w:r>
          </w:p>
        </w:tc>
        <w:tc>
          <w:tcPr>
            <w:tcW w:w="882" w:type="dxa"/>
            <w:shd w:val="clear" w:color="auto" w:fill="2E74B5" w:themeFill="accent1" w:themeFillShade="BF"/>
          </w:tcPr>
          <w:p w14:paraId="6558E804" w14:textId="77777777" w:rsidR="00333504" w:rsidRPr="001B1C71" w:rsidRDefault="00333504" w:rsidP="00C53A28">
            <w:pPr>
              <w:pStyle w:val="Listenabsatz"/>
              <w:ind w:left="0"/>
              <w:rPr>
                <w:b/>
              </w:rPr>
            </w:pPr>
            <w:r w:rsidRPr="001B1C71">
              <w:rPr>
                <w:b/>
              </w:rPr>
              <w:t>Anzahl</w:t>
            </w:r>
          </w:p>
        </w:tc>
      </w:tr>
      <w:tr w:rsidR="00333504" w14:paraId="69FDB169" w14:textId="77777777" w:rsidTr="008C7FBB">
        <w:tc>
          <w:tcPr>
            <w:tcW w:w="260" w:type="dxa"/>
            <w:tcBorders>
              <w:right w:val="nil"/>
            </w:tcBorders>
            <w:shd w:val="clear" w:color="auto" w:fill="BDD6EE" w:themeFill="accent1" w:themeFillTint="66"/>
          </w:tcPr>
          <w:p w14:paraId="40646CE7" w14:textId="77777777" w:rsidR="00333504" w:rsidRPr="00447D63" w:rsidRDefault="00447D63" w:rsidP="00C53A28">
            <w:pPr>
              <w:pStyle w:val="Listenabsatz"/>
              <w:ind w:left="0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BDD6EE" w:themeFill="accent1" w:themeFillTint="66"/>
          </w:tcPr>
          <w:p w14:paraId="67B2BE52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426" w:type="dxa"/>
            <w:tcBorders>
              <w:left w:val="nil"/>
            </w:tcBorders>
            <w:shd w:val="clear" w:color="auto" w:fill="BDD6EE" w:themeFill="accent1" w:themeFillTint="66"/>
          </w:tcPr>
          <w:p w14:paraId="4F3C38EA" w14:textId="77777777" w:rsidR="00333504" w:rsidRPr="00333504" w:rsidRDefault="00333504" w:rsidP="00333504"/>
        </w:tc>
        <w:tc>
          <w:tcPr>
            <w:tcW w:w="6784" w:type="dxa"/>
            <w:shd w:val="clear" w:color="auto" w:fill="BDD6EE" w:themeFill="accent1" w:themeFillTint="66"/>
          </w:tcPr>
          <w:p w14:paraId="54603CC7" w14:textId="77777777" w:rsidR="00333504" w:rsidRPr="00447D63" w:rsidRDefault="001B1C71" w:rsidP="00333504">
            <w:pPr>
              <w:rPr>
                <w:b/>
              </w:rPr>
            </w:pPr>
            <w:r>
              <w:rPr>
                <w:b/>
              </w:rPr>
              <w:t>Anzahl der f</w:t>
            </w:r>
            <w:r w:rsidR="00333504" w:rsidRPr="00447D63">
              <w:rPr>
                <w:b/>
              </w:rPr>
              <w:t xml:space="preserve">ür die technische Auswertbarkeit relevante </w:t>
            </w:r>
            <w:r w:rsidR="00497F7B">
              <w:rPr>
                <w:b/>
              </w:rPr>
              <w:t xml:space="preserve">Datensätze </w:t>
            </w:r>
            <w:r w:rsidR="00333504" w:rsidRPr="00447D63">
              <w:rPr>
                <w:b/>
              </w:rPr>
              <w:t xml:space="preserve"> </w:t>
            </w:r>
          </w:p>
          <w:p w14:paraId="0B087AFC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882" w:type="dxa"/>
            <w:shd w:val="clear" w:color="auto" w:fill="BDD6EE" w:themeFill="accent1" w:themeFillTint="66"/>
          </w:tcPr>
          <w:p w14:paraId="5F62BD1C" w14:textId="77777777" w:rsidR="00333504" w:rsidRDefault="00333504" w:rsidP="00C53A28">
            <w:pPr>
              <w:pStyle w:val="Listenabsatz"/>
              <w:ind w:left="0"/>
            </w:pPr>
          </w:p>
        </w:tc>
      </w:tr>
      <w:tr w:rsidR="00333504" w14:paraId="03571E21" w14:textId="77777777" w:rsidTr="008C7FBB">
        <w:tc>
          <w:tcPr>
            <w:tcW w:w="260" w:type="dxa"/>
            <w:tcBorders>
              <w:right w:val="nil"/>
            </w:tcBorders>
          </w:tcPr>
          <w:p w14:paraId="448C0BF8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</w:tcPr>
          <w:p w14:paraId="4BB4087A" w14:textId="77777777" w:rsidR="00333504" w:rsidRDefault="0039097C" w:rsidP="00447D63">
            <w:pPr>
              <w:pStyle w:val="Listenabsatz"/>
              <w:ind w:left="0"/>
            </w:pPr>
            <w:r>
              <w:t>3</w:t>
            </w:r>
          </w:p>
        </w:tc>
        <w:tc>
          <w:tcPr>
            <w:tcW w:w="426" w:type="dxa"/>
            <w:tcBorders>
              <w:left w:val="nil"/>
            </w:tcBorders>
          </w:tcPr>
          <w:p w14:paraId="54B612ED" w14:textId="77777777" w:rsidR="00333504" w:rsidRPr="00077DD8" w:rsidRDefault="00333504" w:rsidP="00C53A28">
            <w:pPr>
              <w:pStyle w:val="Listenabsatz"/>
              <w:ind w:left="0"/>
            </w:pPr>
          </w:p>
        </w:tc>
        <w:tc>
          <w:tcPr>
            <w:tcW w:w="6784" w:type="dxa"/>
          </w:tcPr>
          <w:p w14:paraId="6800E96F" w14:textId="64229123" w:rsidR="00333504" w:rsidRDefault="00333504" w:rsidP="00C53A28">
            <w:pPr>
              <w:pStyle w:val="Listenabsatz"/>
              <w:ind w:left="0"/>
            </w:pPr>
            <w:r w:rsidRPr="00077DD8">
              <w:t xml:space="preserve">Fehlende Angabe </w:t>
            </w:r>
            <w:r w:rsidR="00EA0EDB">
              <w:t>FNR</w:t>
            </w:r>
          </w:p>
        </w:tc>
        <w:tc>
          <w:tcPr>
            <w:tcW w:w="882" w:type="dxa"/>
          </w:tcPr>
          <w:p w14:paraId="06083147" w14:textId="77777777" w:rsidR="00333504" w:rsidRDefault="00333504" w:rsidP="00C53A28">
            <w:pPr>
              <w:pStyle w:val="Listenabsatz"/>
              <w:ind w:left="0"/>
            </w:pPr>
          </w:p>
        </w:tc>
      </w:tr>
      <w:tr w:rsidR="00333504" w14:paraId="34011652" w14:textId="77777777" w:rsidTr="008C7FBB">
        <w:tc>
          <w:tcPr>
            <w:tcW w:w="260" w:type="dxa"/>
            <w:tcBorders>
              <w:right w:val="nil"/>
            </w:tcBorders>
          </w:tcPr>
          <w:p w14:paraId="402B8758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</w:tcPr>
          <w:p w14:paraId="60F40D03" w14:textId="77777777" w:rsidR="00333504" w:rsidRDefault="0039097C" w:rsidP="00C53A28">
            <w:pPr>
              <w:pStyle w:val="Listenabsatz"/>
              <w:ind w:left="0"/>
            </w:pPr>
            <w:r>
              <w:t>4</w:t>
            </w:r>
          </w:p>
        </w:tc>
        <w:tc>
          <w:tcPr>
            <w:tcW w:w="426" w:type="dxa"/>
            <w:tcBorders>
              <w:left w:val="nil"/>
            </w:tcBorders>
          </w:tcPr>
          <w:p w14:paraId="0DA42853" w14:textId="77777777" w:rsidR="00333504" w:rsidRPr="00077DD8" w:rsidRDefault="00333504" w:rsidP="00C53A28">
            <w:pPr>
              <w:pStyle w:val="Listenabsatz"/>
              <w:ind w:left="0"/>
            </w:pPr>
          </w:p>
        </w:tc>
        <w:tc>
          <w:tcPr>
            <w:tcW w:w="6784" w:type="dxa"/>
          </w:tcPr>
          <w:p w14:paraId="6DABB1C5" w14:textId="77777777" w:rsidR="00333504" w:rsidRDefault="00333504" w:rsidP="00C53A28">
            <w:pPr>
              <w:pStyle w:val="Listenabsatz"/>
              <w:ind w:left="0"/>
            </w:pPr>
            <w:r w:rsidRPr="00077DD8">
              <w:t>Fehlende Angabe BOA</w:t>
            </w:r>
          </w:p>
        </w:tc>
        <w:tc>
          <w:tcPr>
            <w:tcW w:w="882" w:type="dxa"/>
          </w:tcPr>
          <w:p w14:paraId="6ECFC68E" w14:textId="77777777" w:rsidR="00333504" w:rsidRDefault="00333504" w:rsidP="00C53A28">
            <w:pPr>
              <w:pStyle w:val="Listenabsatz"/>
              <w:ind w:left="0"/>
            </w:pPr>
          </w:p>
        </w:tc>
      </w:tr>
      <w:tr w:rsidR="00333504" w14:paraId="7FF26B01" w14:textId="77777777" w:rsidTr="008C7FBB">
        <w:tc>
          <w:tcPr>
            <w:tcW w:w="260" w:type="dxa"/>
            <w:tcBorders>
              <w:right w:val="nil"/>
            </w:tcBorders>
          </w:tcPr>
          <w:p w14:paraId="28C20E73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</w:tcPr>
          <w:p w14:paraId="37B11045" w14:textId="77777777" w:rsidR="00333504" w:rsidRDefault="0039097C" w:rsidP="00C53A28">
            <w:pPr>
              <w:pStyle w:val="Listenabsatz"/>
              <w:ind w:left="0"/>
            </w:pPr>
            <w:r>
              <w:t>5</w:t>
            </w:r>
          </w:p>
        </w:tc>
        <w:tc>
          <w:tcPr>
            <w:tcW w:w="426" w:type="dxa"/>
            <w:tcBorders>
              <w:left w:val="nil"/>
            </w:tcBorders>
          </w:tcPr>
          <w:p w14:paraId="1EC9ED47" w14:textId="77777777" w:rsidR="00333504" w:rsidRPr="00077DD8" w:rsidRDefault="00333504" w:rsidP="00C53A28">
            <w:pPr>
              <w:pStyle w:val="Listenabsatz"/>
              <w:ind w:left="0"/>
            </w:pPr>
          </w:p>
        </w:tc>
        <w:tc>
          <w:tcPr>
            <w:tcW w:w="6784" w:type="dxa"/>
          </w:tcPr>
          <w:p w14:paraId="43A077D6" w14:textId="77777777" w:rsidR="00333504" w:rsidRPr="00077DD8" w:rsidRDefault="00333504" w:rsidP="0039097C">
            <w:pPr>
              <w:pStyle w:val="Listenabsatz"/>
              <w:ind w:left="0"/>
            </w:pPr>
            <w:r w:rsidRPr="00077DD8">
              <w:t>Fehler im Datum</w:t>
            </w:r>
            <w:r>
              <w:t xml:space="preserve"> (Summe aus </w:t>
            </w:r>
            <w:r w:rsidR="0039097C">
              <w:t>5</w:t>
            </w:r>
            <w:r>
              <w:t xml:space="preserve">.1 – </w:t>
            </w:r>
            <w:r w:rsidR="0039097C">
              <w:t>5</w:t>
            </w:r>
            <w:r>
              <w:t>.3)</w:t>
            </w:r>
          </w:p>
        </w:tc>
        <w:tc>
          <w:tcPr>
            <w:tcW w:w="882" w:type="dxa"/>
          </w:tcPr>
          <w:p w14:paraId="7E222BAC" w14:textId="77777777" w:rsidR="00333504" w:rsidRDefault="00333504" w:rsidP="00C53A28">
            <w:pPr>
              <w:pStyle w:val="Listenabsatz"/>
              <w:ind w:left="0"/>
            </w:pPr>
          </w:p>
        </w:tc>
      </w:tr>
      <w:tr w:rsidR="00333504" w14:paraId="6BBC9E94" w14:textId="77777777" w:rsidTr="008C7FBB">
        <w:tc>
          <w:tcPr>
            <w:tcW w:w="260" w:type="dxa"/>
            <w:tcBorders>
              <w:right w:val="nil"/>
            </w:tcBorders>
            <w:shd w:val="clear" w:color="auto" w:fill="auto"/>
          </w:tcPr>
          <w:p w14:paraId="11FFF995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2416721E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615" w:type="dxa"/>
            <w:gridSpan w:val="2"/>
            <w:tcBorders>
              <w:left w:val="nil"/>
            </w:tcBorders>
          </w:tcPr>
          <w:p w14:paraId="0C24AA17" w14:textId="77777777" w:rsidR="00333504" w:rsidRPr="0069310B" w:rsidRDefault="0039097C" w:rsidP="00C53A28">
            <w:pPr>
              <w:pStyle w:val="Listenabsatz"/>
              <w:ind w:left="0"/>
            </w:pPr>
            <w:r>
              <w:t>5</w:t>
            </w:r>
            <w:r w:rsidR="00333504">
              <w:t>.1</w:t>
            </w:r>
          </w:p>
        </w:tc>
        <w:tc>
          <w:tcPr>
            <w:tcW w:w="6784" w:type="dxa"/>
            <w:shd w:val="clear" w:color="auto" w:fill="auto"/>
          </w:tcPr>
          <w:p w14:paraId="759DE8E1" w14:textId="77777777" w:rsidR="00333504" w:rsidRPr="0069310B" w:rsidRDefault="00333504" w:rsidP="00C53A28">
            <w:pPr>
              <w:pStyle w:val="Listenabsatz"/>
              <w:ind w:left="0"/>
            </w:pPr>
            <w:r w:rsidRPr="00077DD8">
              <w:t>Fehlende Angabe „Datum Behandlungsbeginn“</w:t>
            </w:r>
          </w:p>
        </w:tc>
        <w:tc>
          <w:tcPr>
            <w:tcW w:w="882" w:type="dxa"/>
            <w:shd w:val="clear" w:color="auto" w:fill="auto"/>
          </w:tcPr>
          <w:p w14:paraId="45FBE63D" w14:textId="77777777" w:rsidR="00333504" w:rsidRDefault="00333504" w:rsidP="00C53A28">
            <w:pPr>
              <w:pStyle w:val="Listenabsatz"/>
              <w:ind w:left="0"/>
            </w:pPr>
          </w:p>
        </w:tc>
      </w:tr>
      <w:tr w:rsidR="00333504" w14:paraId="68588949" w14:textId="77777777" w:rsidTr="008C7FBB">
        <w:tc>
          <w:tcPr>
            <w:tcW w:w="260" w:type="dxa"/>
            <w:tcBorders>
              <w:right w:val="nil"/>
            </w:tcBorders>
            <w:shd w:val="clear" w:color="auto" w:fill="auto"/>
          </w:tcPr>
          <w:p w14:paraId="3E1C8D99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68710DE8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615" w:type="dxa"/>
            <w:gridSpan w:val="2"/>
            <w:tcBorders>
              <w:left w:val="nil"/>
            </w:tcBorders>
          </w:tcPr>
          <w:p w14:paraId="542F69A0" w14:textId="77777777" w:rsidR="00333504" w:rsidRPr="0069310B" w:rsidRDefault="0039097C" w:rsidP="00C53A28">
            <w:pPr>
              <w:pStyle w:val="Listenabsatz"/>
              <w:ind w:left="0"/>
            </w:pPr>
            <w:r>
              <w:t>5</w:t>
            </w:r>
            <w:r w:rsidR="00333504">
              <w:t>.2</w:t>
            </w:r>
          </w:p>
        </w:tc>
        <w:tc>
          <w:tcPr>
            <w:tcW w:w="6784" w:type="dxa"/>
            <w:shd w:val="clear" w:color="auto" w:fill="auto"/>
          </w:tcPr>
          <w:p w14:paraId="39F411FE" w14:textId="77777777" w:rsidR="00333504" w:rsidRPr="0069310B" w:rsidRDefault="00333504" w:rsidP="00C53A28">
            <w:pPr>
              <w:pStyle w:val="Listenabsatz"/>
              <w:ind w:left="0"/>
            </w:pPr>
            <w:r w:rsidRPr="00077DD8">
              <w:t>Fehlende Angabe  „Datum der letzten Leistungserbringung bei beendeten AmBADO-Fällen“</w:t>
            </w:r>
          </w:p>
        </w:tc>
        <w:tc>
          <w:tcPr>
            <w:tcW w:w="882" w:type="dxa"/>
            <w:shd w:val="clear" w:color="auto" w:fill="auto"/>
          </w:tcPr>
          <w:p w14:paraId="63630235" w14:textId="77777777" w:rsidR="00333504" w:rsidRDefault="00333504" w:rsidP="00C53A28">
            <w:pPr>
              <w:pStyle w:val="Listenabsatz"/>
              <w:ind w:left="0"/>
            </w:pPr>
          </w:p>
        </w:tc>
      </w:tr>
      <w:tr w:rsidR="00333504" w14:paraId="7E100888" w14:textId="77777777" w:rsidTr="008C7FBB">
        <w:tc>
          <w:tcPr>
            <w:tcW w:w="260" w:type="dxa"/>
            <w:tcBorders>
              <w:right w:val="nil"/>
            </w:tcBorders>
            <w:shd w:val="clear" w:color="auto" w:fill="auto"/>
          </w:tcPr>
          <w:p w14:paraId="2797B426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01E6EE99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615" w:type="dxa"/>
            <w:gridSpan w:val="2"/>
            <w:tcBorders>
              <w:left w:val="nil"/>
            </w:tcBorders>
          </w:tcPr>
          <w:p w14:paraId="135C206D" w14:textId="77777777" w:rsidR="00333504" w:rsidRPr="0069310B" w:rsidRDefault="0039097C" w:rsidP="00C53A28">
            <w:pPr>
              <w:pStyle w:val="Listenabsatz"/>
              <w:ind w:left="0"/>
            </w:pPr>
            <w:r>
              <w:t>5</w:t>
            </w:r>
            <w:r w:rsidR="00333504">
              <w:t>.3</w:t>
            </w:r>
          </w:p>
        </w:tc>
        <w:tc>
          <w:tcPr>
            <w:tcW w:w="6784" w:type="dxa"/>
            <w:shd w:val="clear" w:color="auto" w:fill="auto"/>
          </w:tcPr>
          <w:p w14:paraId="5054BBF5" w14:textId="77777777" w:rsidR="00333504" w:rsidRPr="0069310B" w:rsidRDefault="00073B25" w:rsidP="00C53A28">
            <w:pPr>
              <w:pStyle w:val="Listenabsatz"/>
              <w:ind w:left="0"/>
            </w:pPr>
            <w:r w:rsidRPr="00077DD8">
              <w:t>„Datum Behandlungsbeginn“ größer als „Datum der letzten Leistungserbringung“</w:t>
            </w:r>
          </w:p>
        </w:tc>
        <w:tc>
          <w:tcPr>
            <w:tcW w:w="882" w:type="dxa"/>
            <w:shd w:val="clear" w:color="auto" w:fill="auto"/>
          </w:tcPr>
          <w:p w14:paraId="5DBB85FC" w14:textId="77777777" w:rsidR="00333504" w:rsidRDefault="00333504" w:rsidP="00C53A28">
            <w:pPr>
              <w:pStyle w:val="Listenabsatz"/>
              <w:ind w:left="0"/>
            </w:pPr>
          </w:p>
        </w:tc>
      </w:tr>
      <w:tr w:rsidR="00333504" w14:paraId="45144999" w14:textId="77777777" w:rsidTr="008C7FBB">
        <w:tc>
          <w:tcPr>
            <w:tcW w:w="260" w:type="dxa"/>
            <w:tcBorders>
              <w:right w:val="nil"/>
            </w:tcBorders>
            <w:shd w:val="clear" w:color="auto" w:fill="auto"/>
          </w:tcPr>
          <w:p w14:paraId="48245080" w14:textId="77777777" w:rsidR="00333504" w:rsidRDefault="00333504" w:rsidP="00C53A28">
            <w:pPr>
              <w:pStyle w:val="Listenabsatz"/>
              <w:ind w:left="0"/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4312B86" w14:textId="77777777" w:rsidR="00333504" w:rsidRDefault="0039097C" w:rsidP="00C53A28">
            <w:pPr>
              <w:pStyle w:val="Listenabsatz"/>
              <w:ind w:left="0"/>
            </w:pPr>
            <w:r>
              <w:t>6</w:t>
            </w:r>
          </w:p>
        </w:tc>
        <w:tc>
          <w:tcPr>
            <w:tcW w:w="426" w:type="dxa"/>
            <w:tcBorders>
              <w:left w:val="nil"/>
            </w:tcBorders>
          </w:tcPr>
          <w:p w14:paraId="5D5F722B" w14:textId="77777777" w:rsidR="00333504" w:rsidRPr="0069310B" w:rsidRDefault="00333504" w:rsidP="00C53A28">
            <w:pPr>
              <w:pStyle w:val="Listenabsatz"/>
              <w:ind w:left="0"/>
            </w:pPr>
          </w:p>
        </w:tc>
        <w:tc>
          <w:tcPr>
            <w:tcW w:w="6784" w:type="dxa"/>
            <w:shd w:val="clear" w:color="auto" w:fill="auto"/>
          </w:tcPr>
          <w:p w14:paraId="31ABC832" w14:textId="77777777" w:rsidR="00073B25" w:rsidRPr="00073B25" w:rsidRDefault="00073B25" w:rsidP="00073B25">
            <w:r w:rsidRPr="00073B25">
              <w:t>Fehler bei Mehrfachdokumentationen</w:t>
            </w:r>
          </w:p>
          <w:p w14:paraId="262BE136" w14:textId="77777777" w:rsidR="00333504" w:rsidRPr="0069310B" w:rsidRDefault="00073B25" w:rsidP="00073B25">
            <w:r w:rsidRPr="00073B25">
              <w:t>Überschneidende Behandlungszeiträume (beide Fälle ungültig)</w:t>
            </w:r>
          </w:p>
        </w:tc>
        <w:tc>
          <w:tcPr>
            <w:tcW w:w="882" w:type="dxa"/>
            <w:shd w:val="clear" w:color="auto" w:fill="auto"/>
          </w:tcPr>
          <w:p w14:paraId="7C6B8D2F" w14:textId="77777777" w:rsidR="00333504" w:rsidRDefault="00333504" w:rsidP="00C53A28">
            <w:pPr>
              <w:pStyle w:val="Listenabsatz"/>
              <w:ind w:left="0"/>
            </w:pPr>
          </w:p>
        </w:tc>
      </w:tr>
      <w:tr w:rsidR="00073B25" w14:paraId="10FE9DDA" w14:textId="77777777" w:rsidTr="008C7FBB">
        <w:tc>
          <w:tcPr>
            <w:tcW w:w="260" w:type="dxa"/>
            <w:tcBorders>
              <w:right w:val="nil"/>
            </w:tcBorders>
            <w:shd w:val="clear" w:color="auto" w:fill="auto"/>
          </w:tcPr>
          <w:p w14:paraId="3658406F" w14:textId="77777777" w:rsidR="00073B25" w:rsidRDefault="00073B25" w:rsidP="00C53A28">
            <w:pPr>
              <w:pStyle w:val="Listenabsatz"/>
              <w:ind w:left="0"/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2ACB198" w14:textId="77777777" w:rsidR="00073B25" w:rsidRDefault="0039097C" w:rsidP="00C53A28">
            <w:pPr>
              <w:pStyle w:val="Listenabsatz"/>
              <w:ind w:left="0"/>
            </w:pPr>
            <w:r>
              <w:t>7</w:t>
            </w:r>
          </w:p>
        </w:tc>
        <w:tc>
          <w:tcPr>
            <w:tcW w:w="426" w:type="dxa"/>
            <w:tcBorders>
              <w:left w:val="nil"/>
            </w:tcBorders>
          </w:tcPr>
          <w:p w14:paraId="66261B2A" w14:textId="77777777" w:rsidR="00073B25" w:rsidRPr="0069310B" w:rsidRDefault="00073B25" w:rsidP="00C53A28">
            <w:pPr>
              <w:pStyle w:val="Listenabsatz"/>
              <w:ind w:left="0"/>
            </w:pPr>
          </w:p>
        </w:tc>
        <w:tc>
          <w:tcPr>
            <w:tcW w:w="6784" w:type="dxa"/>
            <w:shd w:val="clear" w:color="auto" w:fill="auto"/>
          </w:tcPr>
          <w:p w14:paraId="5EECF957" w14:textId="77777777" w:rsidR="00073B25" w:rsidRPr="0069310B" w:rsidRDefault="00073B25" w:rsidP="0039097C">
            <w:r>
              <w:t>F</w:t>
            </w:r>
            <w:r w:rsidRPr="00073B25">
              <w:t>ehlerhafte Kodierung des Feldes Bogenart</w:t>
            </w:r>
            <w:r w:rsidR="00447D63">
              <w:t xml:space="preserve"> (Summe aus </w:t>
            </w:r>
            <w:r w:rsidR="0039097C">
              <w:t>7</w:t>
            </w:r>
            <w:r w:rsidR="00447D63">
              <w:t xml:space="preserve">.1 – </w:t>
            </w:r>
            <w:r w:rsidR="0039097C">
              <w:t>7</w:t>
            </w:r>
            <w:r w:rsidR="00447D63">
              <w:t>.3)</w:t>
            </w:r>
          </w:p>
        </w:tc>
        <w:tc>
          <w:tcPr>
            <w:tcW w:w="882" w:type="dxa"/>
            <w:shd w:val="clear" w:color="auto" w:fill="auto"/>
          </w:tcPr>
          <w:p w14:paraId="44266BB3" w14:textId="77777777" w:rsidR="00073B25" w:rsidRDefault="00073B25" w:rsidP="00C53A28">
            <w:pPr>
              <w:pStyle w:val="Listenabsatz"/>
              <w:ind w:left="0"/>
            </w:pPr>
          </w:p>
        </w:tc>
      </w:tr>
      <w:tr w:rsidR="00073B25" w14:paraId="1C1D35FF" w14:textId="77777777" w:rsidTr="008C7FBB">
        <w:tc>
          <w:tcPr>
            <w:tcW w:w="260" w:type="dxa"/>
            <w:tcBorders>
              <w:right w:val="nil"/>
            </w:tcBorders>
            <w:shd w:val="clear" w:color="auto" w:fill="auto"/>
          </w:tcPr>
          <w:p w14:paraId="12FA7649" w14:textId="77777777" w:rsidR="00073B25" w:rsidRDefault="00073B25" w:rsidP="00C53A28">
            <w:pPr>
              <w:pStyle w:val="Listenabsatz"/>
              <w:ind w:left="0"/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2D9889F0" w14:textId="77777777" w:rsidR="00073B25" w:rsidRDefault="00073B25" w:rsidP="00C53A28">
            <w:pPr>
              <w:pStyle w:val="Listenabsatz"/>
              <w:ind w:left="0"/>
            </w:pPr>
          </w:p>
        </w:tc>
        <w:tc>
          <w:tcPr>
            <w:tcW w:w="615" w:type="dxa"/>
            <w:gridSpan w:val="2"/>
            <w:tcBorders>
              <w:left w:val="nil"/>
            </w:tcBorders>
          </w:tcPr>
          <w:p w14:paraId="4FF09799" w14:textId="77777777" w:rsidR="00073B25" w:rsidRPr="0069310B" w:rsidRDefault="0039097C" w:rsidP="00C53A28">
            <w:pPr>
              <w:pStyle w:val="Listenabsatz"/>
              <w:ind w:left="0"/>
            </w:pPr>
            <w:r>
              <w:t>7</w:t>
            </w:r>
            <w:r w:rsidR="00073B25">
              <w:t>.1</w:t>
            </w:r>
          </w:p>
        </w:tc>
        <w:tc>
          <w:tcPr>
            <w:tcW w:w="6784" w:type="dxa"/>
            <w:shd w:val="clear" w:color="auto" w:fill="auto"/>
          </w:tcPr>
          <w:p w14:paraId="5BF4B97F" w14:textId="77777777" w:rsidR="00073B25" w:rsidRPr="0069310B" w:rsidRDefault="00073B25" w:rsidP="00073B25">
            <w:r w:rsidRPr="00073B25">
              <w:t>Ungültiger Wert der Variable Bogenart</w:t>
            </w:r>
          </w:p>
        </w:tc>
        <w:tc>
          <w:tcPr>
            <w:tcW w:w="882" w:type="dxa"/>
            <w:shd w:val="clear" w:color="auto" w:fill="auto"/>
          </w:tcPr>
          <w:p w14:paraId="567D3313" w14:textId="77777777" w:rsidR="00073B25" w:rsidRDefault="00073B25" w:rsidP="00C53A28">
            <w:pPr>
              <w:pStyle w:val="Listenabsatz"/>
              <w:ind w:left="0"/>
            </w:pPr>
          </w:p>
        </w:tc>
      </w:tr>
      <w:tr w:rsidR="00073B25" w14:paraId="07408415" w14:textId="77777777" w:rsidTr="008C7FBB">
        <w:tc>
          <w:tcPr>
            <w:tcW w:w="260" w:type="dxa"/>
            <w:tcBorders>
              <w:right w:val="nil"/>
            </w:tcBorders>
            <w:shd w:val="clear" w:color="auto" w:fill="auto"/>
          </w:tcPr>
          <w:p w14:paraId="27AD462A" w14:textId="77777777" w:rsidR="00073B25" w:rsidRDefault="00073B25" w:rsidP="00C53A28">
            <w:pPr>
              <w:pStyle w:val="Listenabsatz"/>
              <w:ind w:left="0"/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3D697A85" w14:textId="77777777" w:rsidR="00073B25" w:rsidRDefault="00073B25" w:rsidP="00C53A28">
            <w:pPr>
              <w:pStyle w:val="Listenabsatz"/>
              <w:ind w:left="0"/>
            </w:pPr>
          </w:p>
        </w:tc>
        <w:tc>
          <w:tcPr>
            <w:tcW w:w="615" w:type="dxa"/>
            <w:gridSpan w:val="2"/>
            <w:tcBorders>
              <w:left w:val="nil"/>
            </w:tcBorders>
          </w:tcPr>
          <w:p w14:paraId="128E222D" w14:textId="77777777" w:rsidR="00073B25" w:rsidRPr="0069310B" w:rsidRDefault="0039097C" w:rsidP="00C53A28">
            <w:pPr>
              <w:pStyle w:val="Listenabsatz"/>
              <w:ind w:left="0"/>
            </w:pPr>
            <w:r>
              <w:t>7</w:t>
            </w:r>
            <w:r w:rsidR="00073B25">
              <w:t>.2</w:t>
            </w:r>
          </w:p>
        </w:tc>
        <w:tc>
          <w:tcPr>
            <w:tcW w:w="6784" w:type="dxa"/>
            <w:shd w:val="clear" w:color="auto" w:fill="auto"/>
          </w:tcPr>
          <w:p w14:paraId="71C1D45D" w14:textId="77777777" w:rsidR="00073B25" w:rsidRPr="0069310B" w:rsidRDefault="00073B25" w:rsidP="00073B25">
            <w:r w:rsidRPr="00073B25">
              <w:t>„Neuaufnahmen“ oder „Neuaufnahme mit Beendigung“  im Dokumentationsjahr, aber Behandlungsbeginn vor Dokumentationsjahr</w:t>
            </w:r>
          </w:p>
        </w:tc>
        <w:tc>
          <w:tcPr>
            <w:tcW w:w="882" w:type="dxa"/>
            <w:shd w:val="clear" w:color="auto" w:fill="auto"/>
          </w:tcPr>
          <w:p w14:paraId="33FCE095" w14:textId="77777777" w:rsidR="00073B25" w:rsidRDefault="00073B25" w:rsidP="00C53A28">
            <w:pPr>
              <w:pStyle w:val="Listenabsatz"/>
              <w:ind w:left="0"/>
            </w:pPr>
          </w:p>
        </w:tc>
      </w:tr>
      <w:tr w:rsidR="00073B25" w14:paraId="3F9F5114" w14:textId="77777777" w:rsidTr="008C7FBB">
        <w:tc>
          <w:tcPr>
            <w:tcW w:w="260" w:type="dxa"/>
            <w:tcBorders>
              <w:right w:val="nil"/>
            </w:tcBorders>
            <w:shd w:val="clear" w:color="auto" w:fill="auto"/>
          </w:tcPr>
          <w:p w14:paraId="5117C5D6" w14:textId="77777777" w:rsidR="00073B25" w:rsidRDefault="00073B25" w:rsidP="00C53A28">
            <w:pPr>
              <w:pStyle w:val="Listenabsatz"/>
              <w:ind w:left="0"/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180D8307" w14:textId="77777777" w:rsidR="00073B25" w:rsidRDefault="00073B25" w:rsidP="00C53A28">
            <w:pPr>
              <w:pStyle w:val="Listenabsatz"/>
              <w:ind w:left="0"/>
            </w:pPr>
          </w:p>
        </w:tc>
        <w:tc>
          <w:tcPr>
            <w:tcW w:w="615" w:type="dxa"/>
            <w:gridSpan w:val="2"/>
            <w:tcBorders>
              <w:left w:val="nil"/>
            </w:tcBorders>
          </w:tcPr>
          <w:p w14:paraId="596866AD" w14:textId="77777777" w:rsidR="00073B25" w:rsidRPr="0069310B" w:rsidRDefault="0039097C" w:rsidP="00C53A28">
            <w:pPr>
              <w:pStyle w:val="Listenabsatz"/>
              <w:ind w:left="0"/>
            </w:pPr>
            <w:r>
              <w:t>7</w:t>
            </w:r>
            <w:r w:rsidR="00073B25">
              <w:t>.3</w:t>
            </w:r>
          </w:p>
        </w:tc>
        <w:tc>
          <w:tcPr>
            <w:tcW w:w="6784" w:type="dxa"/>
            <w:shd w:val="clear" w:color="auto" w:fill="auto"/>
          </w:tcPr>
          <w:p w14:paraId="1537F176" w14:textId="77777777" w:rsidR="00073B25" w:rsidRPr="0069310B" w:rsidRDefault="00073B25" w:rsidP="00073B25">
            <w:r w:rsidRPr="00073B25">
              <w:t>„Jahresaktualisierung“ oder „Jahresaktualisierung mit Beendigung“, aber Behandlungsbeginn ist im Dokumentationsjahr</w:t>
            </w:r>
          </w:p>
        </w:tc>
        <w:tc>
          <w:tcPr>
            <w:tcW w:w="882" w:type="dxa"/>
            <w:shd w:val="clear" w:color="auto" w:fill="auto"/>
          </w:tcPr>
          <w:p w14:paraId="1E3703F3" w14:textId="77777777" w:rsidR="00073B25" w:rsidRDefault="00073B25" w:rsidP="00C53A28">
            <w:pPr>
              <w:pStyle w:val="Listenabsatz"/>
              <w:ind w:left="0"/>
            </w:pPr>
          </w:p>
        </w:tc>
      </w:tr>
      <w:tr w:rsidR="00073B25" w14:paraId="51EC653F" w14:textId="77777777" w:rsidTr="008C7FBB">
        <w:tc>
          <w:tcPr>
            <w:tcW w:w="260" w:type="dxa"/>
            <w:tcBorders>
              <w:right w:val="nil"/>
            </w:tcBorders>
            <w:shd w:val="clear" w:color="auto" w:fill="BDD6EE" w:themeFill="accent1" w:themeFillTint="66"/>
          </w:tcPr>
          <w:p w14:paraId="5DF630E6" w14:textId="77777777" w:rsidR="00073B25" w:rsidRPr="00447D63" w:rsidRDefault="00447D63" w:rsidP="00C53A28">
            <w:pPr>
              <w:pStyle w:val="Listenabsatz"/>
              <w:ind w:left="0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BDD6EE" w:themeFill="accent1" w:themeFillTint="66"/>
          </w:tcPr>
          <w:p w14:paraId="48BED014" w14:textId="77777777" w:rsidR="00073B25" w:rsidRPr="00447D63" w:rsidRDefault="00073B25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BDD6EE" w:themeFill="accent1" w:themeFillTint="66"/>
          </w:tcPr>
          <w:p w14:paraId="5B417804" w14:textId="77777777" w:rsidR="00073B25" w:rsidRPr="00447D63" w:rsidRDefault="00073B25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6784" w:type="dxa"/>
            <w:shd w:val="clear" w:color="auto" w:fill="BDD6EE" w:themeFill="accent1" w:themeFillTint="66"/>
          </w:tcPr>
          <w:p w14:paraId="79A608BE" w14:textId="77777777" w:rsidR="00073B25" w:rsidRPr="00447D63" w:rsidRDefault="00073B25" w:rsidP="00073B25">
            <w:pPr>
              <w:rPr>
                <w:b/>
              </w:rPr>
            </w:pPr>
            <w:r w:rsidRPr="00447D63">
              <w:rPr>
                <w:b/>
              </w:rPr>
              <w:t xml:space="preserve">Anzahl der </w:t>
            </w:r>
            <w:r w:rsidR="00447D63" w:rsidRPr="00447D63">
              <w:rPr>
                <w:b/>
              </w:rPr>
              <w:t>Da</w:t>
            </w:r>
            <w:r w:rsidRPr="00447D63">
              <w:rPr>
                <w:b/>
              </w:rPr>
              <w:t>tensäte, die technisch nicht auswertbar sind</w:t>
            </w:r>
          </w:p>
          <w:p w14:paraId="71AA5250" w14:textId="77777777" w:rsidR="00073B25" w:rsidRPr="00447D63" w:rsidRDefault="00073B25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882" w:type="dxa"/>
            <w:shd w:val="clear" w:color="auto" w:fill="BDD6EE" w:themeFill="accent1" w:themeFillTint="66"/>
          </w:tcPr>
          <w:p w14:paraId="2E24B97B" w14:textId="77777777" w:rsidR="00073B25" w:rsidRDefault="00073B25" w:rsidP="00C53A28">
            <w:pPr>
              <w:pStyle w:val="Listenabsatz"/>
              <w:ind w:left="0"/>
            </w:pPr>
          </w:p>
        </w:tc>
      </w:tr>
      <w:tr w:rsidR="00333504" w14:paraId="50291FE2" w14:textId="77777777" w:rsidTr="008C7FBB">
        <w:tc>
          <w:tcPr>
            <w:tcW w:w="260" w:type="dxa"/>
            <w:tcBorders>
              <w:right w:val="nil"/>
            </w:tcBorders>
            <w:shd w:val="clear" w:color="auto" w:fill="BDD6EE" w:themeFill="accent1" w:themeFillTint="66"/>
          </w:tcPr>
          <w:p w14:paraId="74F4F940" w14:textId="77777777" w:rsidR="00333504" w:rsidRPr="00447D63" w:rsidRDefault="00447D63" w:rsidP="00C53A28">
            <w:pPr>
              <w:pStyle w:val="Listenabsatz"/>
              <w:ind w:left="0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BDD6EE" w:themeFill="accent1" w:themeFillTint="66"/>
          </w:tcPr>
          <w:p w14:paraId="750B0482" w14:textId="77777777" w:rsidR="00333504" w:rsidRPr="00447D63" w:rsidRDefault="00333504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BDD6EE" w:themeFill="accent1" w:themeFillTint="66"/>
          </w:tcPr>
          <w:p w14:paraId="42B8DD99" w14:textId="77777777" w:rsidR="00333504" w:rsidRPr="00447D63" w:rsidRDefault="00333504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6784" w:type="dxa"/>
            <w:shd w:val="clear" w:color="auto" w:fill="BDD6EE" w:themeFill="accent1" w:themeFillTint="66"/>
          </w:tcPr>
          <w:p w14:paraId="4919FF7D" w14:textId="77777777" w:rsidR="00073B25" w:rsidRPr="00447D63" w:rsidRDefault="00073B25" w:rsidP="00073B25">
            <w:pPr>
              <w:rPr>
                <w:b/>
              </w:rPr>
            </w:pPr>
            <w:r w:rsidRPr="00447D63">
              <w:rPr>
                <w:b/>
              </w:rPr>
              <w:t>Anzahl der</w:t>
            </w:r>
            <w:r w:rsidR="00447D63">
              <w:rPr>
                <w:b/>
              </w:rPr>
              <w:t xml:space="preserve"> auswertbaren</w:t>
            </w:r>
            <w:r w:rsidRPr="00447D63">
              <w:rPr>
                <w:b/>
              </w:rPr>
              <w:t xml:space="preserve"> Datensätze </w:t>
            </w:r>
          </w:p>
          <w:p w14:paraId="056B2E23" w14:textId="77777777" w:rsidR="00333504" w:rsidRPr="00447D63" w:rsidRDefault="00333504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882" w:type="dxa"/>
            <w:shd w:val="clear" w:color="auto" w:fill="BDD6EE" w:themeFill="accent1" w:themeFillTint="66"/>
          </w:tcPr>
          <w:p w14:paraId="7BD5B261" w14:textId="77777777" w:rsidR="00333504" w:rsidRDefault="00333504" w:rsidP="00C53A28">
            <w:pPr>
              <w:pStyle w:val="Listenabsatz"/>
              <w:ind w:left="0"/>
            </w:pPr>
          </w:p>
        </w:tc>
      </w:tr>
      <w:tr w:rsidR="00333504" w14:paraId="64DF780D" w14:textId="77777777" w:rsidTr="008C7FBB">
        <w:tc>
          <w:tcPr>
            <w:tcW w:w="260" w:type="dxa"/>
            <w:tcBorders>
              <w:right w:val="nil"/>
            </w:tcBorders>
            <w:shd w:val="clear" w:color="auto" w:fill="BDD6EE" w:themeFill="accent1" w:themeFillTint="66"/>
          </w:tcPr>
          <w:p w14:paraId="54B909A0" w14:textId="77777777" w:rsidR="00333504" w:rsidRPr="00447D63" w:rsidRDefault="00447D63" w:rsidP="00C53A28">
            <w:pPr>
              <w:pStyle w:val="Listenabsatz"/>
              <w:ind w:left="0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BDD6EE" w:themeFill="accent1" w:themeFillTint="66"/>
          </w:tcPr>
          <w:p w14:paraId="59B327E0" w14:textId="77777777" w:rsidR="00333504" w:rsidRPr="00447D63" w:rsidRDefault="00333504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BDD6EE" w:themeFill="accent1" w:themeFillTint="66"/>
          </w:tcPr>
          <w:p w14:paraId="490D93AB" w14:textId="77777777" w:rsidR="00333504" w:rsidRPr="00447D63" w:rsidRDefault="00333504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6784" w:type="dxa"/>
            <w:shd w:val="clear" w:color="auto" w:fill="BDD6EE" w:themeFill="accent1" w:themeFillTint="66"/>
          </w:tcPr>
          <w:p w14:paraId="28E6D20D" w14:textId="77777777" w:rsidR="00073B25" w:rsidRPr="00447D63" w:rsidRDefault="00073B25" w:rsidP="00073B25">
            <w:pPr>
              <w:rPr>
                <w:b/>
              </w:rPr>
            </w:pPr>
            <w:r w:rsidRPr="00447D63">
              <w:rPr>
                <w:b/>
              </w:rPr>
              <w:t xml:space="preserve">Ergebnis der technischen Auswertbarkeit </w:t>
            </w:r>
          </w:p>
          <w:p w14:paraId="3A1508C7" w14:textId="77777777" w:rsidR="00333504" w:rsidRPr="00447D63" w:rsidRDefault="00333504" w:rsidP="00C53A28">
            <w:pPr>
              <w:pStyle w:val="Listenabsatz"/>
              <w:ind w:left="0"/>
              <w:rPr>
                <w:b/>
              </w:rPr>
            </w:pPr>
          </w:p>
        </w:tc>
        <w:tc>
          <w:tcPr>
            <w:tcW w:w="882" w:type="dxa"/>
            <w:shd w:val="clear" w:color="auto" w:fill="BDD6EE" w:themeFill="accent1" w:themeFillTint="66"/>
          </w:tcPr>
          <w:p w14:paraId="53FE7BC8" w14:textId="77777777" w:rsidR="00333504" w:rsidRDefault="00333504" w:rsidP="00C53A28">
            <w:pPr>
              <w:pStyle w:val="Listenabsatz"/>
              <w:ind w:left="0"/>
            </w:pPr>
          </w:p>
        </w:tc>
      </w:tr>
    </w:tbl>
    <w:p w14:paraId="6C0D871A" w14:textId="77777777" w:rsidR="00447D63" w:rsidRDefault="00447D63" w:rsidP="00447D63">
      <w:pPr>
        <w:ind w:left="360"/>
      </w:pPr>
    </w:p>
    <w:p w14:paraId="5E04DE5D" w14:textId="77777777" w:rsidR="00447D63" w:rsidRDefault="00447D63" w:rsidP="00BD0759">
      <w:pPr>
        <w:pStyle w:val="Listenabsatz"/>
        <w:ind w:left="426"/>
        <w:jc w:val="both"/>
      </w:pPr>
      <w:r>
        <w:t xml:space="preserve">Die Differenz aus der </w:t>
      </w:r>
      <w:r w:rsidRPr="001B1C71">
        <w:rPr>
          <w:b/>
        </w:rPr>
        <w:t>Anzahl der für die TA relevanten Datensätze</w:t>
      </w:r>
      <w:r>
        <w:t xml:space="preserve"> </w:t>
      </w:r>
      <w:r w:rsidRPr="001B1C71">
        <w:rPr>
          <w:b/>
        </w:rPr>
        <w:t>(</w:t>
      </w:r>
      <w:r w:rsidR="001B1C71">
        <w:rPr>
          <w:b/>
        </w:rPr>
        <w:t>C</w:t>
      </w:r>
      <w:r w:rsidRPr="001B1C71">
        <w:rPr>
          <w:b/>
        </w:rPr>
        <w:t>)</w:t>
      </w:r>
      <w:r>
        <w:t xml:space="preserve"> und der </w:t>
      </w:r>
      <w:r w:rsidRPr="001B1C71">
        <w:rPr>
          <w:b/>
        </w:rPr>
        <w:t>Anzahl der Datensätze, die technisch nicht auswertbar sind</w:t>
      </w:r>
      <w:r>
        <w:t xml:space="preserve"> </w:t>
      </w:r>
      <w:r w:rsidRPr="001B1C71">
        <w:rPr>
          <w:b/>
        </w:rPr>
        <w:t>(</w:t>
      </w:r>
      <w:r w:rsidR="001B1C71">
        <w:rPr>
          <w:b/>
        </w:rPr>
        <w:t>D</w:t>
      </w:r>
      <w:r w:rsidRPr="001B1C71">
        <w:rPr>
          <w:b/>
        </w:rPr>
        <w:t>)</w:t>
      </w:r>
      <w:r>
        <w:t xml:space="preserve"> ergibt die </w:t>
      </w:r>
      <w:r w:rsidRPr="001B1C71">
        <w:rPr>
          <w:b/>
        </w:rPr>
        <w:t>Anzahl auswertbaren Datensätze</w:t>
      </w:r>
      <w:r>
        <w:t xml:space="preserve"> </w:t>
      </w:r>
      <w:r w:rsidRPr="001B1C71">
        <w:rPr>
          <w:b/>
        </w:rPr>
        <w:t>(</w:t>
      </w:r>
      <w:r w:rsidR="001B1C71">
        <w:rPr>
          <w:b/>
        </w:rPr>
        <w:t>E</w:t>
      </w:r>
      <w:r w:rsidRPr="001B1C71">
        <w:rPr>
          <w:b/>
        </w:rPr>
        <w:t>)</w:t>
      </w:r>
      <w:r w:rsidRPr="001B1C71">
        <w:t>.</w:t>
      </w:r>
      <w:r>
        <w:t xml:space="preserve"> Das </w:t>
      </w:r>
      <w:r w:rsidRPr="00DE1F1D">
        <w:rPr>
          <w:b/>
        </w:rPr>
        <w:t xml:space="preserve">Ergebnis der technischen Auswertbarkeit </w:t>
      </w:r>
      <w:r w:rsidR="001B1C71" w:rsidRPr="00DE1F1D">
        <w:rPr>
          <w:b/>
        </w:rPr>
        <w:t>(F</w:t>
      </w:r>
      <w:r w:rsidR="001B1C71" w:rsidRPr="001B1C71">
        <w:rPr>
          <w:b/>
        </w:rPr>
        <w:t>)</w:t>
      </w:r>
      <w:r w:rsidR="001B1C71">
        <w:t xml:space="preserve"> </w:t>
      </w:r>
      <w:r>
        <w:t>berechnet sich</w:t>
      </w:r>
      <w:r w:rsidR="001B1C71">
        <w:t xml:space="preserve"> wie folgt: </w:t>
      </w:r>
    </w:p>
    <w:p w14:paraId="7BD3819B" w14:textId="77777777" w:rsidR="00447D63" w:rsidRDefault="00447D63" w:rsidP="00BD0759">
      <w:pPr>
        <w:pStyle w:val="Listenabsatz"/>
        <w:ind w:left="426"/>
        <w:jc w:val="both"/>
      </w:pPr>
    </w:p>
    <w:p w14:paraId="7C1FFFC1" w14:textId="77777777" w:rsidR="00447D63" w:rsidRPr="0069310B" w:rsidRDefault="00447D63" w:rsidP="00447D63">
      <w:pPr>
        <w:pStyle w:val="Listenabsatz"/>
        <w:ind w:left="426"/>
      </w:pPr>
      <w:r>
        <w:t xml:space="preserve"> </w:t>
      </w:r>
      <m:oMath>
        <m:r>
          <w:rPr>
            <w:rFonts w:ascii="Cambria Math" w:hAnsi="Cambria Math"/>
          </w:rPr>
          <m:t>TA=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Anzahl der auswertbaren Datensätze</m:t>
                </m:r>
              </m:num>
              <m:den>
                <m:r>
                  <w:rPr>
                    <w:rFonts w:ascii="Cambria Math" w:hAnsi="Cambria Math"/>
                  </w:rPr>
                  <m:t>Anzahl für die TA relevante Datensätze</m:t>
                </m:r>
              </m:den>
            </m:f>
          </m:e>
        </m:d>
      </m:oMath>
      <w:r w:rsidRPr="0069310B">
        <w:t xml:space="preserve"> </w:t>
      </w:r>
      <w:r w:rsidRPr="0069310B">
        <w:sym w:font="Symbol" w:char="F02A"/>
      </w:r>
      <w:r w:rsidRPr="0069310B">
        <w:t xml:space="preserve"> 100</w:t>
      </w:r>
    </w:p>
    <w:p w14:paraId="72A39768" w14:textId="77777777" w:rsidR="00447D63" w:rsidRDefault="00447D63" w:rsidP="00447D63">
      <w:pPr>
        <w:ind w:left="360"/>
      </w:pPr>
    </w:p>
    <w:p w14:paraId="08F45A36" w14:textId="77777777" w:rsidR="00333504" w:rsidRDefault="00333504" w:rsidP="00447D63">
      <w:pPr>
        <w:pStyle w:val="Listenabsatz"/>
        <w:ind w:left="426"/>
      </w:pPr>
    </w:p>
    <w:p w14:paraId="21356C9C" w14:textId="77777777" w:rsidR="00073B25" w:rsidRDefault="00077DD8" w:rsidP="00073B25">
      <w:pPr>
        <w:ind w:left="360"/>
      </w:pPr>
      <w:r w:rsidRPr="00077DD8">
        <w:t xml:space="preserve"> </w:t>
      </w:r>
    </w:p>
    <w:p w14:paraId="19946FD8" w14:textId="77777777" w:rsidR="00073B25" w:rsidRDefault="00073B25" w:rsidP="00073B25">
      <w:pPr>
        <w:ind w:left="360"/>
      </w:pPr>
    </w:p>
    <w:p w14:paraId="6E937CC5" w14:textId="77777777" w:rsidR="0069310B" w:rsidRPr="000E173B" w:rsidRDefault="0069310B" w:rsidP="001B1C71"/>
    <w:sectPr w:rsidR="0069310B" w:rsidRPr="000E17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AFD08" w14:textId="77777777" w:rsidR="001015F5" w:rsidRDefault="001015F5" w:rsidP="001015F5">
      <w:pPr>
        <w:spacing w:after="0" w:line="240" w:lineRule="auto"/>
      </w:pPr>
      <w:r>
        <w:separator/>
      </w:r>
    </w:p>
  </w:endnote>
  <w:endnote w:type="continuationSeparator" w:id="0">
    <w:p w14:paraId="673F9148" w14:textId="77777777" w:rsidR="001015F5" w:rsidRDefault="001015F5" w:rsidP="00101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BCCA9" w14:textId="77777777" w:rsidR="001D6416" w:rsidRDefault="001D64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91C35" w14:textId="468D578A" w:rsidR="00DD1EBC" w:rsidRPr="00F33F84" w:rsidRDefault="00DD1EBC" w:rsidP="00C25B5B">
    <w:pPr>
      <w:pStyle w:val="Fuzeile"/>
      <w:pBdr>
        <w:top w:val="single" w:sz="4" w:space="1" w:color="0470D2"/>
      </w:pBdr>
      <w:tabs>
        <w:tab w:val="clear" w:pos="9072"/>
        <w:tab w:val="left" w:pos="743"/>
        <w:tab w:val="left" w:pos="4536"/>
        <w:tab w:val="right" w:pos="9057"/>
      </w:tabs>
      <w:spacing w:before="40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Bewertung der technischen Auswertbarkeit</w:t>
    </w:r>
    <w:r w:rsidR="00144A5A">
      <w:rPr>
        <w:rFonts w:ascii="Arial" w:hAnsi="Arial" w:cs="Arial"/>
        <w:sz w:val="18"/>
      </w:rPr>
      <w:t xml:space="preserve"> / </w:t>
    </w:r>
    <w:r w:rsidRPr="00F33F84">
      <w:rPr>
        <w:rFonts w:ascii="Arial" w:hAnsi="Arial" w:cs="Arial"/>
        <w:sz w:val="18"/>
      </w:rPr>
      <w:t>Stand</w:t>
    </w:r>
    <w:r w:rsidR="00144A5A">
      <w:rPr>
        <w:rFonts w:ascii="Arial" w:hAnsi="Arial" w:cs="Arial"/>
        <w:sz w:val="18"/>
      </w:rPr>
      <w:t>:</w:t>
    </w:r>
    <w:r w:rsidRPr="00F33F84">
      <w:rPr>
        <w:rFonts w:ascii="Arial" w:hAnsi="Arial" w:cs="Arial"/>
        <w:sz w:val="18"/>
      </w:rPr>
      <w:t xml:space="preserve"> </w:t>
    </w:r>
    <w:r w:rsidR="001D6416">
      <w:rPr>
        <w:rFonts w:ascii="Arial" w:hAnsi="Arial" w:cs="Arial"/>
        <w:sz w:val="18"/>
      </w:rPr>
      <w:t>01</w:t>
    </w:r>
    <w:r w:rsidRPr="00F33F84">
      <w:rPr>
        <w:rFonts w:ascii="Arial" w:hAnsi="Arial" w:cs="Arial"/>
        <w:sz w:val="18"/>
      </w:rPr>
      <w:t>/20</w:t>
    </w:r>
    <w:r>
      <w:rPr>
        <w:rFonts w:ascii="Arial" w:hAnsi="Arial" w:cs="Arial"/>
        <w:sz w:val="18"/>
      </w:rPr>
      <w:t>2</w:t>
    </w:r>
    <w:r w:rsidR="001D6416">
      <w:rPr>
        <w:rFonts w:ascii="Arial" w:hAnsi="Arial" w:cs="Arial"/>
        <w:sz w:val="18"/>
      </w:rPr>
      <w:t>1</w:t>
    </w:r>
    <w:bookmarkStart w:id="0" w:name="_GoBack"/>
    <w:bookmarkEnd w:id="0"/>
    <w:r w:rsidRPr="00F33F84">
      <w:rPr>
        <w:rFonts w:ascii="Arial" w:hAnsi="Arial" w:cs="Arial"/>
        <w:sz w:val="18"/>
      </w:rPr>
      <w:tab/>
    </w:r>
    <w:r w:rsidRPr="00F33F84">
      <w:rPr>
        <w:rFonts w:ascii="Arial" w:hAnsi="Arial" w:cs="Arial"/>
        <w:sz w:val="18"/>
        <w:szCs w:val="18"/>
      </w:rPr>
      <w:t xml:space="preserve">Seite </w:t>
    </w:r>
    <w:r w:rsidRPr="00F33F84">
      <w:rPr>
        <w:rFonts w:ascii="Arial" w:hAnsi="Arial"/>
        <w:sz w:val="18"/>
        <w:szCs w:val="18"/>
      </w:rPr>
      <w:fldChar w:fldCharType="begin"/>
    </w:r>
    <w:r w:rsidRPr="00F33F84">
      <w:rPr>
        <w:rFonts w:ascii="Arial" w:hAnsi="Arial"/>
        <w:sz w:val="18"/>
        <w:szCs w:val="18"/>
      </w:rPr>
      <w:instrText xml:space="preserve"> PAGE </w:instrText>
    </w:r>
    <w:r w:rsidRPr="00F33F84"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noProof/>
        <w:sz w:val="18"/>
        <w:szCs w:val="18"/>
      </w:rPr>
      <w:t>1</w:t>
    </w:r>
    <w:r w:rsidRPr="00F33F84">
      <w:rPr>
        <w:rFonts w:ascii="Arial" w:hAnsi="Arial"/>
        <w:sz w:val="18"/>
        <w:szCs w:val="18"/>
      </w:rPr>
      <w:fldChar w:fldCharType="end"/>
    </w:r>
    <w:r w:rsidRPr="00F33F84">
      <w:rPr>
        <w:rFonts w:ascii="Arial" w:hAnsi="Arial"/>
        <w:sz w:val="18"/>
        <w:szCs w:val="18"/>
      </w:rPr>
      <w:t xml:space="preserve"> von </w:t>
    </w:r>
    <w:r w:rsidRPr="00F33F84">
      <w:rPr>
        <w:rFonts w:ascii="Arial" w:hAnsi="Arial"/>
        <w:sz w:val="18"/>
        <w:szCs w:val="18"/>
      </w:rPr>
      <w:fldChar w:fldCharType="begin"/>
    </w:r>
    <w:r w:rsidRPr="00F33F84">
      <w:rPr>
        <w:rFonts w:ascii="Arial" w:hAnsi="Arial"/>
        <w:sz w:val="18"/>
        <w:szCs w:val="18"/>
      </w:rPr>
      <w:instrText xml:space="preserve"> NUMPAGES </w:instrText>
    </w:r>
    <w:r w:rsidRPr="00F33F84"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noProof/>
        <w:sz w:val="18"/>
        <w:szCs w:val="18"/>
      </w:rPr>
      <w:t>4</w:t>
    </w:r>
    <w:r w:rsidRPr="00F33F84">
      <w:rPr>
        <w:rFonts w:ascii="Arial" w:hAnsi="Arial"/>
        <w:sz w:val="18"/>
        <w:szCs w:val="18"/>
      </w:rPr>
      <w:fldChar w:fldCharType="end"/>
    </w:r>
  </w:p>
  <w:p w14:paraId="38D7C88F" w14:textId="77777777" w:rsidR="001015F5" w:rsidRPr="00DD1EBC" w:rsidRDefault="001015F5" w:rsidP="00DD1E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A356B" w14:textId="77777777" w:rsidR="001D6416" w:rsidRDefault="001D64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68076" w14:textId="77777777" w:rsidR="001015F5" w:rsidRDefault="001015F5" w:rsidP="001015F5">
      <w:pPr>
        <w:spacing w:after="0" w:line="240" w:lineRule="auto"/>
      </w:pPr>
      <w:r>
        <w:separator/>
      </w:r>
    </w:p>
  </w:footnote>
  <w:footnote w:type="continuationSeparator" w:id="0">
    <w:p w14:paraId="4A2CE4CE" w14:textId="77777777" w:rsidR="001015F5" w:rsidRDefault="001015F5" w:rsidP="00101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53875" w14:textId="77777777" w:rsidR="001D6416" w:rsidRDefault="001D64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B7D4A" w14:textId="43CD86B9" w:rsidR="00DD1EBC" w:rsidRDefault="00DD1EB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924799" wp14:editId="1F58B728">
          <wp:simplePos x="0" y="0"/>
          <wp:positionH relativeFrom="column">
            <wp:posOffset>4123277</wp:posOffset>
          </wp:positionH>
          <wp:positionV relativeFrom="page">
            <wp:posOffset>272720</wp:posOffset>
          </wp:positionV>
          <wp:extent cx="1638935" cy="546100"/>
          <wp:effectExtent l="0" t="0" r="0" b="635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58A45" w14:textId="77777777" w:rsidR="001D6416" w:rsidRDefault="001D64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1615D"/>
    <w:multiLevelType w:val="hybridMultilevel"/>
    <w:tmpl w:val="C0B0B9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BF250F"/>
    <w:multiLevelType w:val="hybridMultilevel"/>
    <w:tmpl w:val="B8F4EA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81B2B"/>
    <w:multiLevelType w:val="hybridMultilevel"/>
    <w:tmpl w:val="131C55B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C5383"/>
    <w:multiLevelType w:val="hybridMultilevel"/>
    <w:tmpl w:val="3F6C5D7E"/>
    <w:lvl w:ilvl="0" w:tplc="43241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027A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740D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CCD2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B4B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4E0E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D2F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761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8446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7304A84"/>
    <w:multiLevelType w:val="hybridMultilevel"/>
    <w:tmpl w:val="7FB82E92"/>
    <w:lvl w:ilvl="0" w:tplc="84C28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73B"/>
    <w:rsid w:val="00073B25"/>
    <w:rsid w:val="00077DD8"/>
    <w:rsid w:val="000E173B"/>
    <w:rsid w:val="001015F5"/>
    <w:rsid w:val="00144A5A"/>
    <w:rsid w:val="001B1C71"/>
    <w:rsid w:val="001D6416"/>
    <w:rsid w:val="002919E1"/>
    <w:rsid w:val="00333504"/>
    <w:rsid w:val="0039097C"/>
    <w:rsid w:val="00447D63"/>
    <w:rsid w:val="00497F7B"/>
    <w:rsid w:val="00566A9A"/>
    <w:rsid w:val="0069310B"/>
    <w:rsid w:val="006D115C"/>
    <w:rsid w:val="008832E1"/>
    <w:rsid w:val="008C7FBB"/>
    <w:rsid w:val="00BD0759"/>
    <w:rsid w:val="00C25B5B"/>
    <w:rsid w:val="00C8440D"/>
    <w:rsid w:val="00D1127F"/>
    <w:rsid w:val="00DD1EBC"/>
    <w:rsid w:val="00DE1F1D"/>
    <w:rsid w:val="00DF06A0"/>
    <w:rsid w:val="00EA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8A271E"/>
  <w15:docId w15:val="{012FDD3F-D028-4753-AA72-2B295718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17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0E17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C8440D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84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33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7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7F7B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01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5F5"/>
  </w:style>
  <w:style w:type="paragraph" w:styleId="Fuzeile">
    <w:name w:val="footer"/>
    <w:basedOn w:val="Standard"/>
    <w:link w:val="FuzeileZchn"/>
    <w:unhideWhenUsed/>
    <w:rsid w:val="00101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6661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469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0063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0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9EEB05691F0D48BEF97FA4862857D3" ma:contentTypeVersion="12" ma:contentTypeDescription="Ein neues Dokument erstellen." ma:contentTypeScope="" ma:versionID="cc60cff98d1cdbc8dcbb39daae00ba0d">
  <xsd:schema xmlns:xsd="http://www.w3.org/2001/XMLSchema" xmlns:xs="http://www.w3.org/2001/XMLSchema" xmlns:p="http://schemas.microsoft.com/office/2006/metadata/properties" xmlns:ns2="feaf1ac9-c229-4db5-8e59-912ab30a66e0" xmlns:ns3="b1d92bc1-c7a3-4f84-b1f2-7362a1a05751" targetNamespace="http://schemas.microsoft.com/office/2006/metadata/properties" ma:root="true" ma:fieldsID="30a418594e85fdb3ffcb23f42ec7acd3" ns2:_="" ns3:_="">
    <xsd:import namespace="feaf1ac9-c229-4db5-8e59-912ab30a66e0"/>
    <xsd:import namespace="b1d92bc1-c7a3-4f84-b1f2-7362a1a05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f1ac9-c229-4db5-8e59-912ab30a6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92bc1-c7a3-4f84-b1f2-7362a1a05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EED188-B648-4E98-B242-32D1F28482F8}">
  <ds:schemaRefs>
    <ds:schemaRef ds:uri="http://purl.org/dc/elements/1.1/"/>
    <ds:schemaRef ds:uri="http://schemas.microsoft.com/office/2006/metadata/properties"/>
    <ds:schemaRef ds:uri="b1d92bc1-c7a3-4f84-b1f2-7362a1a05751"/>
    <ds:schemaRef ds:uri="http://schemas.microsoft.com/office/2006/documentManagement/types"/>
    <ds:schemaRef ds:uri="http://purl.org/dc/terms/"/>
    <ds:schemaRef ds:uri="feaf1ac9-c229-4db5-8e59-912ab30a66e0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E463E4-DFDF-4785-B19D-AFF1114279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D3D3C-2A1A-4776-B952-875BBA20D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af1ac9-c229-4db5-8e59-912ab30a66e0"/>
    <ds:schemaRef ds:uri="b1d92bc1-c7a3-4f84-b1f2-7362a1a05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Korbmacher, Julie</dc:creator>
  <cp:keywords/>
  <dc:description/>
  <cp:lastModifiedBy>Julie Korbmacher</cp:lastModifiedBy>
  <cp:revision>15</cp:revision>
  <cp:lastPrinted>2019-07-23T11:40:00Z</cp:lastPrinted>
  <dcterms:created xsi:type="dcterms:W3CDTF">2019-07-23T09:02:00Z</dcterms:created>
  <dcterms:modified xsi:type="dcterms:W3CDTF">2020-11-10T08:22:00Z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0x010100D59EEB05691F0D48BEF97FA4862857D3</vt:lpwstr>
  </property>
</Properties>
</file>