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FE935" w14:textId="263B1E70" w:rsidR="00F11B5D" w:rsidRPr="00955618" w:rsidRDefault="00F11B5D" w:rsidP="00F11B5D">
      <w:pPr>
        <w:pStyle w:val="berschrift2"/>
        <w:rPr>
          <w:b w:val="0"/>
          <w:bCs w:val="0"/>
          <w:sz w:val="22"/>
        </w:rPr>
      </w:pPr>
      <w:r w:rsidRPr="00955618">
        <w:rPr>
          <w:sz w:val="24"/>
        </w:rPr>
        <w:t>Anlage 5 (zu § 1</w:t>
      </w:r>
      <w:r w:rsidR="00F335D7">
        <w:rPr>
          <w:sz w:val="24"/>
        </w:rPr>
        <w:t>6</w:t>
      </w:r>
      <w:r w:rsidRPr="00955618">
        <w:rPr>
          <w:sz w:val="24"/>
        </w:rPr>
        <w:t>)</w:t>
      </w:r>
      <w:r w:rsidRPr="00955618">
        <w:t xml:space="preserve"> </w:t>
      </w:r>
      <w:r w:rsidRPr="00955618">
        <w:rPr>
          <w:b w:val="0"/>
          <w:bCs w:val="0"/>
          <w:sz w:val="22"/>
        </w:rPr>
        <w:t>(Stand:</w:t>
      </w:r>
      <w:r w:rsidR="00EF5A40">
        <w:rPr>
          <w:b w:val="0"/>
          <w:bCs w:val="0"/>
          <w:sz w:val="22"/>
        </w:rPr>
        <w:t xml:space="preserve"> </w:t>
      </w:r>
      <w:r w:rsidR="000E2DCA">
        <w:rPr>
          <w:b w:val="0"/>
          <w:bCs w:val="0"/>
          <w:sz w:val="22"/>
        </w:rPr>
        <w:t>01.07.2024</w:t>
      </w:r>
      <w:r w:rsidR="00593859" w:rsidRPr="00955618">
        <w:rPr>
          <w:b w:val="0"/>
          <w:bCs w:val="0"/>
          <w:sz w:val="22"/>
        </w:rPr>
        <w:t>)</w:t>
      </w:r>
    </w:p>
    <w:p w14:paraId="2A92316F" w14:textId="77777777" w:rsidR="0061276D" w:rsidRPr="00654B79" w:rsidRDefault="0061276D" w:rsidP="00582A0A">
      <w:pPr>
        <w:rPr>
          <w:rFonts w:asciiTheme="minorHAnsi" w:hAnsiTheme="minorHAnsi" w:cstheme="minorHAnsi"/>
          <w:color w:val="000000" w:themeColor="text1"/>
          <w:sz w:val="22"/>
          <w:szCs w:val="22"/>
        </w:rPr>
      </w:pPr>
    </w:p>
    <w:p w14:paraId="3B91AB2F" w14:textId="77777777" w:rsidR="0061276D" w:rsidRPr="00654B79" w:rsidRDefault="0061276D" w:rsidP="00582A0A">
      <w:pPr>
        <w:rPr>
          <w:rFonts w:asciiTheme="minorHAnsi" w:hAnsiTheme="minorHAnsi" w:cstheme="minorHAnsi"/>
          <w:color w:val="000000" w:themeColor="text1"/>
          <w:sz w:val="22"/>
          <w:szCs w:val="22"/>
        </w:rPr>
      </w:pPr>
    </w:p>
    <w:tbl>
      <w:tblPr>
        <w:tblStyle w:val="Tabellenraster"/>
        <w:tblW w:w="13740" w:type="dxa"/>
        <w:tblLook w:val="04A0" w:firstRow="1" w:lastRow="0" w:firstColumn="1" w:lastColumn="0" w:noHBand="0" w:noVBand="1"/>
      </w:tblPr>
      <w:tblGrid>
        <w:gridCol w:w="562"/>
        <w:gridCol w:w="4111"/>
        <w:gridCol w:w="1554"/>
        <w:gridCol w:w="3041"/>
        <w:gridCol w:w="4472"/>
      </w:tblGrid>
      <w:tr w:rsidR="0061276D" w:rsidRPr="00654B79" w14:paraId="34DF65AE" w14:textId="77777777" w:rsidTr="005551AF">
        <w:tc>
          <w:tcPr>
            <w:tcW w:w="562" w:type="dxa"/>
          </w:tcPr>
          <w:p w14:paraId="1A102570" w14:textId="77777777" w:rsidR="0061276D" w:rsidRPr="00654B79" w:rsidRDefault="0061276D" w:rsidP="00582A0A">
            <w:pPr>
              <w:rPr>
                <w:rFonts w:asciiTheme="minorHAnsi" w:hAnsiTheme="minorHAnsi" w:cstheme="minorHAnsi"/>
                <w:color w:val="000000" w:themeColor="text1"/>
                <w:sz w:val="22"/>
                <w:szCs w:val="22"/>
              </w:rPr>
            </w:pPr>
          </w:p>
        </w:tc>
        <w:tc>
          <w:tcPr>
            <w:tcW w:w="4111" w:type="dxa"/>
          </w:tcPr>
          <w:p w14:paraId="787907E9" w14:textId="77777777" w:rsidR="0061276D" w:rsidRPr="00654B79" w:rsidRDefault="0061276D" w:rsidP="00582A0A">
            <w:pPr>
              <w:rPr>
                <w:rFonts w:asciiTheme="minorHAnsi" w:hAnsiTheme="minorHAnsi" w:cstheme="minorHAnsi"/>
                <w:color w:val="000000" w:themeColor="text1"/>
                <w:sz w:val="22"/>
                <w:szCs w:val="22"/>
              </w:rPr>
            </w:pPr>
          </w:p>
        </w:tc>
        <w:tc>
          <w:tcPr>
            <w:tcW w:w="4595" w:type="dxa"/>
            <w:gridSpan w:val="2"/>
          </w:tcPr>
          <w:p w14:paraId="563167C2" w14:textId="77777777" w:rsidR="0061276D" w:rsidRPr="00654B79" w:rsidRDefault="0061276D" w:rsidP="00582A0A">
            <w:pPr>
              <w:rPr>
                <w:rFonts w:asciiTheme="minorHAnsi" w:hAnsiTheme="minorHAnsi" w:cstheme="minorHAnsi"/>
                <w:color w:val="000000" w:themeColor="text1"/>
                <w:sz w:val="22"/>
                <w:szCs w:val="22"/>
              </w:rPr>
            </w:pPr>
          </w:p>
        </w:tc>
        <w:tc>
          <w:tcPr>
            <w:tcW w:w="4472" w:type="dxa"/>
          </w:tcPr>
          <w:p w14:paraId="40666FE4" w14:textId="77777777" w:rsidR="0061276D" w:rsidRPr="00654B79" w:rsidRDefault="0061276D" w:rsidP="00582A0A">
            <w:pPr>
              <w:rPr>
                <w:rFonts w:asciiTheme="minorHAnsi" w:hAnsiTheme="minorHAnsi" w:cstheme="minorHAnsi"/>
                <w:color w:val="000000" w:themeColor="text1"/>
                <w:sz w:val="22"/>
                <w:szCs w:val="22"/>
              </w:rPr>
            </w:pPr>
          </w:p>
        </w:tc>
      </w:tr>
      <w:tr w:rsidR="0061276D" w:rsidRPr="0061276D" w14:paraId="08402095" w14:textId="77777777" w:rsidTr="005551AF">
        <w:trPr>
          <w:trHeight w:val="288"/>
        </w:trPr>
        <w:tc>
          <w:tcPr>
            <w:tcW w:w="562" w:type="dxa"/>
            <w:noWrap/>
            <w:hideMark/>
          </w:tcPr>
          <w:p w14:paraId="1B776F86" w14:textId="77777777" w:rsidR="0061276D" w:rsidRPr="0061276D" w:rsidRDefault="0061276D" w:rsidP="0061276D">
            <w:pPr>
              <w:rPr>
                <w:rFonts w:asciiTheme="minorHAnsi" w:hAnsiTheme="minorHAnsi" w:cstheme="minorHAnsi"/>
                <w:sz w:val="20"/>
                <w:szCs w:val="20"/>
              </w:rPr>
            </w:pPr>
          </w:p>
        </w:tc>
        <w:tc>
          <w:tcPr>
            <w:tcW w:w="4111" w:type="dxa"/>
            <w:noWrap/>
            <w:hideMark/>
          </w:tcPr>
          <w:p w14:paraId="4FFE25F2" w14:textId="77777777" w:rsidR="0061276D" w:rsidRPr="0061276D" w:rsidRDefault="0061276D" w:rsidP="00B10E36">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Themenbereich</w:t>
            </w:r>
          </w:p>
        </w:tc>
        <w:tc>
          <w:tcPr>
            <w:tcW w:w="1554" w:type="dxa"/>
            <w:noWrap/>
            <w:hideMark/>
          </w:tcPr>
          <w:p w14:paraId="64028C94" w14:textId="77777777" w:rsidR="0061276D" w:rsidRPr="0061276D" w:rsidRDefault="0061276D" w:rsidP="00B10E36">
            <w:pPr>
              <w:rPr>
                <w:rFonts w:asciiTheme="minorHAnsi" w:hAnsiTheme="minorHAnsi" w:cstheme="minorHAnsi"/>
                <w:b/>
                <w:bCs/>
                <w:color w:val="000000"/>
                <w:sz w:val="22"/>
                <w:szCs w:val="22"/>
              </w:rPr>
            </w:pPr>
          </w:p>
        </w:tc>
        <w:tc>
          <w:tcPr>
            <w:tcW w:w="7513" w:type="dxa"/>
            <w:gridSpan w:val="2"/>
            <w:noWrap/>
            <w:hideMark/>
          </w:tcPr>
          <w:p w14:paraId="50D7F789" w14:textId="77777777" w:rsidR="0061276D" w:rsidRPr="0061276D" w:rsidRDefault="0061276D" w:rsidP="00B10E36">
            <w:pPr>
              <w:ind w:right="988"/>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Bezeichnung der Regelung</w:t>
            </w:r>
          </w:p>
        </w:tc>
      </w:tr>
      <w:tr w:rsidR="0061276D" w:rsidRPr="0061276D" w14:paraId="20ECDB78" w14:textId="77777777" w:rsidTr="005551AF">
        <w:trPr>
          <w:trHeight w:val="288"/>
        </w:trPr>
        <w:tc>
          <w:tcPr>
            <w:tcW w:w="562" w:type="dxa"/>
            <w:noWrap/>
            <w:hideMark/>
          </w:tcPr>
          <w:p w14:paraId="1F2EB77E" w14:textId="77777777" w:rsidR="0061276D" w:rsidRPr="0061276D" w:rsidRDefault="0061276D" w:rsidP="0061276D">
            <w:pPr>
              <w:rPr>
                <w:rFonts w:asciiTheme="minorHAnsi" w:hAnsiTheme="minorHAnsi" w:cstheme="minorHAnsi"/>
                <w:b/>
                <w:bCs/>
                <w:color w:val="000000"/>
                <w:sz w:val="22"/>
                <w:szCs w:val="22"/>
              </w:rPr>
            </w:pPr>
          </w:p>
        </w:tc>
        <w:tc>
          <w:tcPr>
            <w:tcW w:w="4111" w:type="dxa"/>
            <w:noWrap/>
            <w:hideMark/>
          </w:tcPr>
          <w:p w14:paraId="5E421B90" w14:textId="77777777" w:rsidR="0061276D" w:rsidRPr="0061276D" w:rsidRDefault="0061276D" w:rsidP="00B10E36">
            <w:pPr>
              <w:rPr>
                <w:rFonts w:asciiTheme="minorHAnsi" w:hAnsiTheme="minorHAnsi" w:cstheme="minorHAnsi"/>
                <w:sz w:val="20"/>
                <w:szCs w:val="20"/>
              </w:rPr>
            </w:pPr>
          </w:p>
        </w:tc>
        <w:tc>
          <w:tcPr>
            <w:tcW w:w="1554" w:type="dxa"/>
            <w:noWrap/>
            <w:hideMark/>
          </w:tcPr>
          <w:p w14:paraId="29284565" w14:textId="77777777" w:rsidR="0061276D" w:rsidRPr="0061276D" w:rsidRDefault="0061276D" w:rsidP="00B10E36">
            <w:pPr>
              <w:rPr>
                <w:rFonts w:asciiTheme="minorHAnsi" w:hAnsiTheme="minorHAnsi" w:cstheme="minorHAnsi"/>
                <w:sz w:val="20"/>
                <w:szCs w:val="20"/>
              </w:rPr>
            </w:pPr>
          </w:p>
        </w:tc>
        <w:tc>
          <w:tcPr>
            <w:tcW w:w="7513" w:type="dxa"/>
            <w:gridSpan w:val="2"/>
            <w:noWrap/>
            <w:hideMark/>
          </w:tcPr>
          <w:p w14:paraId="08FB049E" w14:textId="77777777" w:rsidR="0061276D" w:rsidRPr="0061276D" w:rsidRDefault="0061276D" w:rsidP="00B10E36">
            <w:pPr>
              <w:rPr>
                <w:rFonts w:asciiTheme="minorHAnsi" w:hAnsiTheme="minorHAnsi" w:cstheme="minorHAnsi"/>
                <w:sz w:val="20"/>
                <w:szCs w:val="20"/>
              </w:rPr>
            </w:pPr>
          </w:p>
        </w:tc>
      </w:tr>
      <w:tr w:rsidR="00DB2747" w:rsidRPr="0061276D" w14:paraId="1DD11B9D" w14:textId="77777777" w:rsidTr="005551AF">
        <w:trPr>
          <w:trHeight w:val="288"/>
        </w:trPr>
        <w:tc>
          <w:tcPr>
            <w:tcW w:w="562" w:type="dxa"/>
            <w:noWrap/>
          </w:tcPr>
          <w:p w14:paraId="6CB8B45D" w14:textId="5DF7118D"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1</w:t>
            </w:r>
          </w:p>
        </w:tc>
        <w:tc>
          <w:tcPr>
            <w:tcW w:w="13178" w:type="dxa"/>
            <w:gridSpan w:val="4"/>
            <w:noWrap/>
          </w:tcPr>
          <w:p w14:paraId="238AC5C0" w14:textId="569BF06A" w:rsidR="00DB2747" w:rsidRPr="0061276D" w:rsidRDefault="00DB2747" w:rsidP="00DB2747">
            <w:pPr>
              <w:rPr>
                <w:rFonts w:asciiTheme="minorHAnsi" w:hAnsiTheme="minorHAnsi" w:cstheme="minorHAnsi"/>
                <w:sz w:val="20"/>
                <w:szCs w:val="20"/>
              </w:rPr>
            </w:pPr>
            <w:r w:rsidRPr="0061276D">
              <w:rPr>
                <w:rFonts w:asciiTheme="minorHAnsi" w:hAnsiTheme="minorHAnsi" w:cstheme="minorHAnsi"/>
                <w:b/>
                <w:bCs/>
                <w:color w:val="000000"/>
                <w:sz w:val="22"/>
                <w:szCs w:val="22"/>
              </w:rPr>
              <w:t>Leistungsrecht allgemein</w:t>
            </w:r>
          </w:p>
        </w:tc>
      </w:tr>
      <w:tr w:rsidR="00DB2747" w:rsidRPr="0061276D" w14:paraId="7868A381" w14:textId="77777777" w:rsidTr="005551AF">
        <w:trPr>
          <w:trHeight w:val="288"/>
        </w:trPr>
        <w:tc>
          <w:tcPr>
            <w:tcW w:w="562" w:type="dxa"/>
            <w:noWrap/>
            <w:hideMark/>
          </w:tcPr>
          <w:p w14:paraId="1E9E420C" w14:textId="77777777"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 </w:t>
            </w:r>
          </w:p>
        </w:tc>
        <w:tc>
          <w:tcPr>
            <w:tcW w:w="4111" w:type="dxa"/>
            <w:noWrap/>
            <w:hideMark/>
          </w:tcPr>
          <w:p w14:paraId="38588826" w14:textId="77777777"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 </w:t>
            </w:r>
          </w:p>
        </w:tc>
        <w:tc>
          <w:tcPr>
            <w:tcW w:w="1554" w:type="dxa"/>
            <w:noWrap/>
            <w:hideMark/>
          </w:tcPr>
          <w:p w14:paraId="376BDFB7" w14:textId="77777777"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 </w:t>
            </w:r>
          </w:p>
        </w:tc>
        <w:tc>
          <w:tcPr>
            <w:tcW w:w="7513" w:type="dxa"/>
            <w:gridSpan w:val="2"/>
            <w:noWrap/>
            <w:hideMark/>
          </w:tcPr>
          <w:p w14:paraId="40723504" w14:textId="77777777"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 </w:t>
            </w:r>
          </w:p>
        </w:tc>
      </w:tr>
      <w:tr w:rsidR="00DB2747" w:rsidRPr="0061276D" w14:paraId="7DCA07CC" w14:textId="77777777" w:rsidTr="005551AF">
        <w:trPr>
          <w:trHeight w:val="288"/>
        </w:trPr>
        <w:tc>
          <w:tcPr>
            <w:tcW w:w="562" w:type="dxa"/>
            <w:noWrap/>
            <w:hideMark/>
          </w:tcPr>
          <w:p w14:paraId="61558FE3" w14:textId="77777777"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1.1</w:t>
            </w:r>
          </w:p>
        </w:tc>
        <w:tc>
          <w:tcPr>
            <w:tcW w:w="4111" w:type="dxa"/>
            <w:noWrap/>
            <w:hideMark/>
          </w:tcPr>
          <w:p w14:paraId="2A7DD367" w14:textId="77777777"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Gesetze/bundesweite Bestimmungen</w:t>
            </w:r>
          </w:p>
        </w:tc>
        <w:tc>
          <w:tcPr>
            <w:tcW w:w="1554" w:type="dxa"/>
            <w:noWrap/>
            <w:hideMark/>
          </w:tcPr>
          <w:p w14:paraId="3823EB63" w14:textId="1F94ADBD" w:rsidR="00DB2747" w:rsidRPr="00AB5363" w:rsidRDefault="00BF2004" w:rsidP="00DB2747">
            <w:pPr>
              <w:rPr>
                <w:rFonts w:asciiTheme="minorHAnsi" w:hAnsiTheme="minorHAnsi" w:cstheme="minorHAnsi"/>
                <w:color w:val="000000"/>
                <w:sz w:val="22"/>
                <w:szCs w:val="22"/>
              </w:rPr>
            </w:pPr>
            <w:r>
              <w:rPr>
                <w:rFonts w:asciiTheme="minorHAnsi" w:hAnsiTheme="minorHAnsi" w:cstheme="minorHAnsi"/>
                <w:color w:val="000000"/>
                <w:sz w:val="22"/>
                <w:szCs w:val="22"/>
              </w:rPr>
              <w:t>1.1.1</w:t>
            </w:r>
          </w:p>
        </w:tc>
        <w:tc>
          <w:tcPr>
            <w:tcW w:w="7513" w:type="dxa"/>
            <w:gridSpan w:val="2"/>
            <w:noWrap/>
            <w:hideMark/>
          </w:tcPr>
          <w:p w14:paraId="550A0E0E" w14:textId="1A2694C5"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Bundesmantelvertrag</w:t>
            </w:r>
            <w:r w:rsidRPr="00654B79">
              <w:rPr>
                <w:rFonts w:asciiTheme="minorHAnsi" w:hAnsiTheme="minorHAnsi" w:cstheme="minorHAnsi"/>
                <w:color w:val="000000"/>
                <w:sz w:val="22"/>
                <w:szCs w:val="22"/>
              </w:rPr>
              <w:t>-</w:t>
            </w:r>
            <w:r w:rsidRPr="0061276D">
              <w:rPr>
                <w:rFonts w:asciiTheme="minorHAnsi" w:hAnsiTheme="minorHAnsi" w:cstheme="minorHAnsi"/>
                <w:color w:val="000000"/>
                <w:sz w:val="22"/>
                <w:szCs w:val="22"/>
              </w:rPr>
              <w:t>Ärzte</w:t>
            </w:r>
          </w:p>
        </w:tc>
      </w:tr>
      <w:tr w:rsidR="00DB2747" w:rsidRPr="0061276D" w14:paraId="3358A906" w14:textId="77777777" w:rsidTr="005551AF">
        <w:trPr>
          <w:trHeight w:val="288"/>
        </w:trPr>
        <w:tc>
          <w:tcPr>
            <w:tcW w:w="562" w:type="dxa"/>
            <w:noWrap/>
            <w:hideMark/>
          </w:tcPr>
          <w:p w14:paraId="4A9A1FB6" w14:textId="77777777" w:rsidR="00DB2747" w:rsidRPr="0061276D" w:rsidRDefault="00DB2747" w:rsidP="00DB2747">
            <w:pPr>
              <w:rPr>
                <w:rFonts w:asciiTheme="minorHAnsi" w:hAnsiTheme="minorHAnsi" w:cstheme="minorHAnsi"/>
                <w:color w:val="000000"/>
                <w:sz w:val="22"/>
                <w:szCs w:val="22"/>
              </w:rPr>
            </w:pPr>
          </w:p>
        </w:tc>
        <w:tc>
          <w:tcPr>
            <w:tcW w:w="4111" w:type="dxa"/>
            <w:noWrap/>
            <w:hideMark/>
          </w:tcPr>
          <w:p w14:paraId="15BF53AC" w14:textId="77777777" w:rsidR="00DB2747" w:rsidRPr="0061276D" w:rsidRDefault="00DB2747" w:rsidP="00DB2747">
            <w:pPr>
              <w:rPr>
                <w:rFonts w:asciiTheme="minorHAnsi" w:hAnsiTheme="minorHAnsi" w:cstheme="minorHAnsi"/>
                <w:sz w:val="20"/>
                <w:szCs w:val="20"/>
              </w:rPr>
            </w:pPr>
          </w:p>
        </w:tc>
        <w:tc>
          <w:tcPr>
            <w:tcW w:w="1554" w:type="dxa"/>
            <w:noWrap/>
            <w:hideMark/>
          </w:tcPr>
          <w:p w14:paraId="67F9BD0E" w14:textId="77777777"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1.1.2</w:t>
            </w:r>
          </w:p>
        </w:tc>
        <w:tc>
          <w:tcPr>
            <w:tcW w:w="7513" w:type="dxa"/>
            <w:gridSpan w:val="2"/>
            <w:noWrap/>
            <w:hideMark/>
          </w:tcPr>
          <w:p w14:paraId="72D6BE8A" w14:textId="77777777"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Off-label-use von Medikamenten</w:t>
            </w:r>
          </w:p>
        </w:tc>
      </w:tr>
      <w:tr w:rsidR="004D1CE4" w:rsidRPr="0061276D" w14:paraId="1B996D88" w14:textId="77777777" w:rsidTr="005551AF">
        <w:trPr>
          <w:trHeight w:val="288"/>
        </w:trPr>
        <w:tc>
          <w:tcPr>
            <w:tcW w:w="562" w:type="dxa"/>
            <w:noWrap/>
            <w:hideMark/>
          </w:tcPr>
          <w:p w14:paraId="6B590C71"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523F2CE8" w14:textId="77777777" w:rsidR="004D1CE4" w:rsidRPr="0061276D" w:rsidRDefault="004D1CE4" w:rsidP="00DB2747">
            <w:pPr>
              <w:rPr>
                <w:rFonts w:asciiTheme="minorHAnsi" w:hAnsiTheme="minorHAnsi" w:cstheme="minorHAnsi"/>
                <w:sz w:val="20"/>
                <w:szCs w:val="20"/>
              </w:rPr>
            </w:pPr>
          </w:p>
        </w:tc>
        <w:tc>
          <w:tcPr>
            <w:tcW w:w="1554" w:type="dxa"/>
            <w:noWrap/>
            <w:hideMark/>
          </w:tcPr>
          <w:p w14:paraId="5CAAA2CF" w14:textId="1B8DF61E"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1.1.3</w:t>
            </w:r>
          </w:p>
        </w:tc>
        <w:tc>
          <w:tcPr>
            <w:tcW w:w="7513" w:type="dxa"/>
            <w:gridSpan w:val="2"/>
            <w:noWrap/>
            <w:hideMark/>
          </w:tcPr>
          <w:p w14:paraId="1934D9EF" w14:textId="2432FFB8"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Ausstellen von Bescheinigungen, Gutachten und Berichten für Dritte</w:t>
            </w:r>
          </w:p>
        </w:tc>
      </w:tr>
      <w:tr w:rsidR="004D1CE4" w:rsidRPr="0061276D" w14:paraId="2318BE08" w14:textId="77777777" w:rsidTr="005551AF">
        <w:trPr>
          <w:trHeight w:val="288"/>
        </w:trPr>
        <w:tc>
          <w:tcPr>
            <w:tcW w:w="562" w:type="dxa"/>
            <w:noWrap/>
            <w:hideMark/>
          </w:tcPr>
          <w:p w14:paraId="680BCDB9"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27E031D0" w14:textId="77777777" w:rsidR="004D1CE4" w:rsidRPr="0061276D" w:rsidRDefault="004D1CE4" w:rsidP="00DB2747">
            <w:pPr>
              <w:rPr>
                <w:rFonts w:asciiTheme="minorHAnsi" w:hAnsiTheme="minorHAnsi" w:cstheme="minorHAnsi"/>
                <w:sz w:val="20"/>
                <w:szCs w:val="20"/>
              </w:rPr>
            </w:pPr>
          </w:p>
        </w:tc>
        <w:tc>
          <w:tcPr>
            <w:tcW w:w="1554" w:type="dxa"/>
            <w:noWrap/>
            <w:hideMark/>
          </w:tcPr>
          <w:p w14:paraId="5EE3B8D9" w14:textId="40E356EF"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1.1.4</w:t>
            </w:r>
          </w:p>
        </w:tc>
        <w:tc>
          <w:tcPr>
            <w:tcW w:w="7513" w:type="dxa"/>
            <w:gridSpan w:val="2"/>
            <w:noWrap/>
            <w:hideMark/>
          </w:tcPr>
          <w:p w14:paraId="61375730" w14:textId="617D0D5A" w:rsidR="004D1CE4" w:rsidRPr="0061276D" w:rsidRDefault="004D1CE4" w:rsidP="00DB2747">
            <w:pPr>
              <w:rPr>
                <w:rFonts w:asciiTheme="minorHAnsi" w:hAnsiTheme="minorHAnsi" w:cstheme="minorHAnsi"/>
                <w:color w:val="000000"/>
                <w:sz w:val="20"/>
                <w:szCs w:val="20"/>
              </w:rPr>
            </w:pPr>
            <w:r w:rsidRPr="0061276D">
              <w:rPr>
                <w:rFonts w:asciiTheme="minorHAnsi" w:hAnsiTheme="minorHAnsi" w:cstheme="minorHAnsi"/>
                <w:color w:val="000000"/>
                <w:sz w:val="22"/>
                <w:szCs w:val="22"/>
              </w:rPr>
              <w:t>Begriffsdefinitionen (Behandlungsfall/Krankheitsfall)</w:t>
            </w:r>
          </w:p>
        </w:tc>
      </w:tr>
      <w:tr w:rsidR="004D1CE4" w:rsidRPr="0061276D" w14:paraId="272CE214" w14:textId="77777777" w:rsidTr="005551AF">
        <w:trPr>
          <w:trHeight w:val="288"/>
        </w:trPr>
        <w:tc>
          <w:tcPr>
            <w:tcW w:w="562" w:type="dxa"/>
            <w:noWrap/>
            <w:hideMark/>
          </w:tcPr>
          <w:p w14:paraId="073EFA79" w14:textId="77777777" w:rsidR="004D1CE4" w:rsidRPr="0061276D" w:rsidRDefault="004D1CE4" w:rsidP="00DB2747">
            <w:pPr>
              <w:rPr>
                <w:rFonts w:asciiTheme="minorHAnsi" w:hAnsiTheme="minorHAnsi" w:cstheme="minorHAnsi"/>
                <w:color w:val="000000"/>
                <w:sz w:val="20"/>
                <w:szCs w:val="20"/>
              </w:rPr>
            </w:pPr>
          </w:p>
        </w:tc>
        <w:tc>
          <w:tcPr>
            <w:tcW w:w="4111" w:type="dxa"/>
            <w:noWrap/>
            <w:hideMark/>
          </w:tcPr>
          <w:p w14:paraId="161BA4F7" w14:textId="77777777" w:rsidR="004D1CE4" w:rsidRPr="0061276D" w:rsidRDefault="004D1CE4" w:rsidP="00DB2747">
            <w:pPr>
              <w:rPr>
                <w:rFonts w:asciiTheme="minorHAnsi" w:hAnsiTheme="minorHAnsi" w:cstheme="minorHAnsi"/>
                <w:sz w:val="20"/>
                <w:szCs w:val="20"/>
              </w:rPr>
            </w:pPr>
          </w:p>
        </w:tc>
        <w:tc>
          <w:tcPr>
            <w:tcW w:w="1554" w:type="dxa"/>
            <w:noWrap/>
            <w:hideMark/>
          </w:tcPr>
          <w:p w14:paraId="3D944344" w14:textId="6B3FF1D2"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1.1.5</w:t>
            </w:r>
          </w:p>
        </w:tc>
        <w:tc>
          <w:tcPr>
            <w:tcW w:w="7513" w:type="dxa"/>
            <w:gridSpan w:val="2"/>
            <w:noWrap/>
            <w:hideMark/>
          </w:tcPr>
          <w:p w14:paraId="7BE54FA2" w14:textId="201CEEAF"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Codierung von Diagnosen im Rahmen der Abrechnung</w:t>
            </w:r>
          </w:p>
        </w:tc>
      </w:tr>
      <w:tr w:rsidR="004D1CE4" w:rsidRPr="0061276D" w14:paraId="107FC50F" w14:textId="77777777" w:rsidTr="005551AF">
        <w:trPr>
          <w:trHeight w:val="288"/>
        </w:trPr>
        <w:tc>
          <w:tcPr>
            <w:tcW w:w="562" w:type="dxa"/>
            <w:noWrap/>
            <w:hideMark/>
          </w:tcPr>
          <w:p w14:paraId="7FE9E637"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4B31BAB9" w14:textId="77777777" w:rsidR="004D1CE4" w:rsidRPr="0061276D" w:rsidRDefault="004D1CE4" w:rsidP="00DB2747">
            <w:pPr>
              <w:rPr>
                <w:rFonts w:asciiTheme="minorHAnsi" w:hAnsiTheme="minorHAnsi" w:cstheme="minorHAnsi"/>
                <w:sz w:val="20"/>
                <w:szCs w:val="20"/>
              </w:rPr>
            </w:pPr>
          </w:p>
        </w:tc>
        <w:tc>
          <w:tcPr>
            <w:tcW w:w="1554" w:type="dxa"/>
            <w:noWrap/>
            <w:hideMark/>
          </w:tcPr>
          <w:p w14:paraId="4DD53707" w14:textId="10FD63E1" w:rsidR="004D1CE4" w:rsidRPr="0061276D" w:rsidRDefault="004D1CE4" w:rsidP="00DB2747">
            <w:pPr>
              <w:rPr>
                <w:rFonts w:asciiTheme="minorHAnsi" w:hAnsiTheme="minorHAnsi" w:cstheme="minorHAnsi"/>
                <w:color w:val="000000"/>
                <w:sz w:val="22"/>
                <w:szCs w:val="22"/>
              </w:rPr>
            </w:pPr>
          </w:p>
        </w:tc>
        <w:tc>
          <w:tcPr>
            <w:tcW w:w="7513" w:type="dxa"/>
            <w:gridSpan w:val="2"/>
            <w:noWrap/>
            <w:hideMark/>
          </w:tcPr>
          <w:p w14:paraId="07ACEFFF" w14:textId="63ED59F8" w:rsidR="004D1CE4" w:rsidRPr="0061276D" w:rsidRDefault="004D1CE4" w:rsidP="00DB2747">
            <w:pPr>
              <w:rPr>
                <w:rFonts w:asciiTheme="minorHAnsi" w:hAnsiTheme="minorHAnsi" w:cstheme="minorHAnsi"/>
                <w:color w:val="000000"/>
                <w:sz w:val="22"/>
                <w:szCs w:val="22"/>
              </w:rPr>
            </w:pPr>
          </w:p>
        </w:tc>
      </w:tr>
      <w:tr w:rsidR="004D1CE4" w:rsidRPr="0061276D" w14:paraId="5392C8AD" w14:textId="77777777" w:rsidTr="005551AF">
        <w:trPr>
          <w:trHeight w:val="288"/>
        </w:trPr>
        <w:tc>
          <w:tcPr>
            <w:tcW w:w="562" w:type="dxa"/>
            <w:noWrap/>
            <w:hideMark/>
          </w:tcPr>
          <w:p w14:paraId="10B78580" w14:textId="23A177E1"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1.2</w:t>
            </w:r>
          </w:p>
        </w:tc>
        <w:tc>
          <w:tcPr>
            <w:tcW w:w="4111" w:type="dxa"/>
            <w:noWrap/>
            <w:hideMark/>
          </w:tcPr>
          <w:p w14:paraId="6B894A0D" w14:textId="0480C517" w:rsidR="004D1CE4" w:rsidRPr="0061276D" w:rsidRDefault="004D1CE4" w:rsidP="00DB2747">
            <w:pPr>
              <w:rPr>
                <w:rFonts w:asciiTheme="minorHAnsi" w:hAnsiTheme="minorHAnsi" w:cstheme="minorHAnsi"/>
                <w:sz w:val="20"/>
                <w:szCs w:val="20"/>
              </w:rPr>
            </w:pPr>
            <w:r w:rsidRPr="0061276D">
              <w:rPr>
                <w:rFonts w:asciiTheme="minorHAnsi" w:hAnsiTheme="minorHAnsi" w:cstheme="minorHAnsi"/>
                <w:color w:val="000000"/>
                <w:sz w:val="22"/>
                <w:szCs w:val="22"/>
              </w:rPr>
              <w:t>Versicherungsstatus</w:t>
            </w:r>
          </w:p>
        </w:tc>
        <w:tc>
          <w:tcPr>
            <w:tcW w:w="1554" w:type="dxa"/>
            <w:noWrap/>
            <w:hideMark/>
          </w:tcPr>
          <w:p w14:paraId="0CEACAAA" w14:textId="77777777" w:rsidR="004D1CE4" w:rsidRPr="0061276D" w:rsidRDefault="004D1CE4" w:rsidP="00DB2747">
            <w:pPr>
              <w:rPr>
                <w:rFonts w:asciiTheme="minorHAnsi" w:hAnsiTheme="minorHAnsi" w:cstheme="minorHAnsi"/>
                <w:sz w:val="20"/>
                <w:szCs w:val="20"/>
              </w:rPr>
            </w:pPr>
          </w:p>
        </w:tc>
        <w:tc>
          <w:tcPr>
            <w:tcW w:w="7513" w:type="dxa"/>
            <w:gridSpan w:val="2"/>
            <w:noWrap/>
            <w:hideMark/>
          </w:tcPr>
          <w:p w14:paraId="266D8BA4" w14:textId="77777777" w:rsidR="004D1CE4" w:rsidRPr="0061276D" w:rsidRDefault="004D1CE4" w:rsidP="00DB2747">
            <w:pPr>
              <w:rPr>
                <w:rFonts w:asciiTheme="minorHAnsi" w:hAnsiTheme="minorHAnsi" w:cstheme="minorHAnsi"/>
                <w:sz w:val="20"/>
                <w:szCs w:val="20"/>
              </w:rPr>
            </w:pPr>
          </w:p>
        </w:tc>
      </w:tr>
      <w:tr w:rsidR="004D1CE4" w:rsidRPr="0061276D" w14:paraId="17319DA4" w14:textId="77777777" w:rsidTr="005551AF">
        <w:trPr>
          <w:trHeight w:val="288"/>
        </w:trPr>
        <w:tc>
          <w:tcPr>
            <w:tcW w:w="562" w:type="dxa"/>
            <w:noWrap/>
            <w:hideMark/>
          </w:tcPr>
          <w:p w14:paraId="4129743B" w14:textId="5B15A85E" w:rsidR="004D1CE4" w:rsidRPr="0061276D" w:rsidRDefault="004D1CE4" w:rsidP="00DB2747">
            <w:pPr>
              <w:rPr>
                <w:rFonts w:asciiTheme="minorHAnsi" w:hAnsiTheme="minorHAnsi" w:cstheme="minorHAnsi"/>
                <w:color w:val="000000"/>
                <w:sz w:val="22"/>
                <w:szCs w:val="22"/>
              </w:rPr>
            </w:pPr>
          </w:p>
        </w:tc>
        <w:tc>
          <w:tcPr>
            <w:tcW w:w="4111" w:type="dxa"/>
            <w:noWrap/>
            <w:hideMark/>
          </w:tcPr>
          <w:p w14:paraId="6E5CDE09" w14:textId="68E91402" w:rsidR="004D1CE4" w:rsidRPr="0061276D" w:rsidRDefault="004D1CE4" w:rsidP="00DB2747">
            <w:pPr>
              <w:rPr>
                <w:rFonts w:asciiTheme="minorHAnsi" w:hAnsiTheme="minorHAnsi" w:cstheme="minorHAnsi"/>
                <w:color w:val="000000"/>
                <w:sz w:val="22"/>
                <w:szCs w:val="22"/>
              </w:rPr>
            </w:pPr>
          </w:p>
        </w:tc>
        <w:tc>
          <w:tcPr>
            <w:tcW w:w="1554" w:type="dxa"/>
            <w:noWrap/>
          </w:tcPr>
          <w:p w14:paraId="7BBF00F8" w14:textId="0A10709E" w:rsidR="004D1CE4" w:rsidRPr="0061276D" w:rsidRDefault="004D1CE4" w:rsidP="00DB2747">
            <w:pPr>
              <w:rPr>
                <w:rFonts w:asciiTheme="minorHAnsi" w:hAnsiTheme="minorHAnsi" w:cstheme="minorHAnsi"/>
                <w:color w:val="000000"/>
                <w:sz w:val="22"/>
                <w:szCs w:val="22"/>
              </w:rPr>
            </w:pPr>
          </w:p>
        </w:tc>
        <w:tc>
          <w:tcPr>
            <w:tcW w:w="7513" w:type="dxa"/>
            <w:gridSpan w:val="2"/>
            <w:noWrap/>
          </w:tcPr>
          <w:p w14:paraId="6995141D" w14:textId="4A17B1E5" w:rsidR="004D1CE4" w:rsidRPr="0061276D" w:rsidRDefault="004D1CE4" w:rsidP="00DB2747">
            <w:pPr>
              <w:rPr>
                <w:rFonts w:asciiTheme="minorHAnsi" w:hAnsiTheme="minorHAnsi" w:cstheme="minorHAnsi"/>
                <w:color w:val="000000"/>
                <w:sz w:val="22"/>
                <w:szCs w:val="22"/>
              </w:rPr>
            </w:pPr>
          </w:p>
        </w:tc>
      </w:tr>
      <w:tr w:rsidR="004D1CE4" w:rsidRPr="0061276D" w14:paraId="14F08376" w14:textId="77777777" w:rsidTr="005551AF">
        <w:trPr>
          <w:trHeight w:val="288"/>
        </w:trPr>
        <w:tc>
          <w:tcPr>
            <w:tcW w:w="562" w:type="dxa"/>
            <w:noWrap/>
            <w:hideMark/>
          </w:tcPr>
          <w:p w14:paraId="1249817A" w14:textId="50B18637"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w:t>
            </w:r>
          </w:p>
        </w:tc>
        <w:tc>
          <w:tcPr>
            <w:tcW w:w="4111" w:type="dxa"/>
            <w:noWrap/>
            <w:hideMark/>
          </w:tcPr>
          <w:p w14:paraId="28F8E8FB" w14:textId="4576BEA0" w:rsidR="004D1CE4" w:rsidRPr="0061276D" w:rsidRDefault="004D1CE4" w:rsidP="00DB2747">
            <w:pPr>
              <w:rPr>
                <w:rFonts w:asciiTheme="minorHAnsi" w:hAnsiTheme="minorHAnsi" w:cstheme="minorHAnsi"/>
                <w:sz w:val="20"/>
                <w:szCs w:val="20"/>
              </w:rPr>
            </w:pPr>
            <w:r w:rsidRPr="0061276D">
              <w:rPr>
                <w:rFonts w:asciiTheme="minorHAnsi" w:hAnsiTheme="minorHAnsi" w:cstheme="minorHAnsi"/>
                <w:color w:val="000000"/>
                <w:sz w:val="22"/>
                <w:szCs w:val="22"/>
              </w:rPr>
              <w:t>Konkurrierende Abrechnungen</w:t>
            </w:r>
          </w:p>
        </w:tc>
        <w:tc>
          <w:tcPr>
            <w:tcW w:w="1554" w:type="dxa"/>
            <w:noWrap/>
            <w:hideMark/>
          </w:tcPr>
          <w:p w14:paraId="700EBFD8" w14:textId="777BE760" w:rsidR="004D1CE4" w:rsidRPr="0061276D" w:rsidRDefault="004D1CE4" w:rsidP="00DB2747">
            <w:pPr>
              <w:rPr>
                <w:rFonts w:asciiTheme="minorHAnsi" w:hAnsiTheme="minorHAnsi" w:cstheme="minorHAnsi"/>
                <w:sz w:val="20"/>
                <w:szCs w:val="20"/>
              </w:rPr>
            </w:pPr>
            <w:r w:rsidRPr="0061276D">
              <w:rPr>
                <w:rFonts w:asciiTheme="minorHAnsi" w:hAnsiTheme="minorHAnsi" w:cstheme="minorHAnsi"/>
                <w:color w:val="000000"/>
                <w:sz w:val="22"/>
                <w:szCs w:val="22"/>
              </w:rPr>
              <w:t>1.3.1</w:t>
            </w:r>
          </w:p>
        </w:tc>
        <w:tc>
          <w:tcPr>
            <w:tcW w:w="7513" w:type="dxa"/>
            <w:gridSpan w:val="2"/>
            <w:noWrap/>
            <w:hideMark/>
          </w:tcPr>
          <w:p w14:paraId="00E2B96F" w14:textId="67683340" w:rsidR="004D1CE4" w:rsidRPr="0061276D" w:rsidRDefault="004D1CE4" w:rsidP="00DB2747">
            <w:pPr>
              <w:rPr>
                <w:rFonts w:asciiTheme="minorHAnsi" w:hAnsiTheme="minorHAnsi" w:cstheme="minorHAnsi"/>
                <w:sz w:val="20"/>
                <w:szCs w:val="20"/>
              </w:rPr>
            </w:pPr>
            <w:r w:rsidRPr="0061276D">
              <w:rPr>
                <w:rFonts w:asciiTheme="minorHAnsi" w:hAnsiTheme="minorHAnsi" w:cstheme="minorHAnsi"/>
                <w:color w:val="000000"/>
                <w:sz w:val="22"/>
                <w:szCs w:val="22"/>
              </w:rPr>
              <w:t>Aufnahmetag</w:t>
            </w:r>
          </w:p>
        </w:tc>
      </w:tr>
      <w:tr w:rsidR="004D1CE4" w:rsidRPr="0061276D" w14:paraId="0490B01C" w14:textId="77777777" w:rsidTr="005551AF">
        <w:trPr>
          <w:trHeight w:val="288"/>
        </w:trPr>
        <w:tc>
          <w:tcPr>
            <w:tcW w:w="562" w:type="dxa"/>
            <w:noWrap/>
            <w:hideMark/>
          </w:tcPr>
          <w:p w14:paraId="69EFF8D1" w14:textId="23831550" w:rsidR="004D1CE4" w:rsidRPr="0061276D" w:rsidRDefault="004D1CE4" w:rsidP="00DB2747">
            <w:pPr>
              <w:rPr>
                <w:rFonts w:asciiTheme="minorHAnsi" w:hAnsiTheme="minorHAnsi" w:cstheme="minorHAnsi"/>
                <w:color w:val="000000"/>
                <w:sz w:val="22"/>
                <w:szCs w:val="22"/>
              </w:rPr>
            </w:pPr>
          </w:p>
        </w:tc>
        <w:tc>
          <w:tcPr>
            <w:tcW w:w="4111" w:type="dxa"/>
            <w:noWrap/>
            <w:hideMark/>
          </w:tcPr>
          <w:p w14:paraId="3629630C" w14:textId="76D56996" w:rsidR="004D1CE4" w:rsidRPr="0061276D" w:rsidRDefault="004D1CE4" w:rsidP="00DB2747">
            <w:pPr>
              <w:rPr>
                <w:rFonts w:asciiTheme="minorHAnsi" w:hAnsiTheme="minorHAnsi" w:cstheme="minorHAnsi"/>
                <w:color w:val="000000"/>
                <w:sz w:val="22"/>
                <w:szCs w:val="22"/>
              </w:rPr>
            </w:pPr>
          </w:p>
        </w:tc>
        <w:tc>
          <w:tcPr>
            <w:tcW w:w="1554" w:type="dxa"/>
            <w:noWrap/>
            <w:hideMark/>
          </w:tcPr>
          <w:p w14:paraId="6CC9A1EB" w14:textId="6EC53B33"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1.3.3</w:t>
            </w:r>
          </w:p>
        </w:tc>
        <w:tc>
          <w:tcPr>
            <w:tcW w:w="7513" w:type="dxa"/>
            <w:gridSpan w:val="2"/>
            <w:noWrap/>
            <w:hideMark/>
          </w:tcPr>
          <w:p w14:paraId="0E55970E" w14:textId="1C81BDA6"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Entlassungstag</w:t>
            </w:r>
          </w:p>
        </w:tc>
      </w:tr>
      <w:tr w:rsidR="004D1CE4" w:rsidRPr="0061276D" w14:paraId="6D635799" w14:textId="77777777" w:rsidTr="005551AF">
        <w:trPr>
          <w:trHeight w:val="288"/>
        </w:trPr>
        <w:tc>
          <w:tcPr>
            <w:tcW w:w="562" w:type="dxa"/>
            <w:noWrap/>
            <w:hideMark/>
          </w:tcPr>
          <w:p w14:paraId="4325F6EB" w14:textId="77777777" w:rsidR="004D1CE4" w:rsidRPr="00DB2747" w:rsidRDefault="004D1CE4" w:rsidP="00DB2747">
            <w:pPr>
              <w:rPr>
                <w:rFonts w:asciiTheme="minorHAnsi" w:hAnsiTheme="minorHAnsi" w:cstheme="minorHAnsi"/>
                <w:sz w:val="22"/>
                <w:szCs w:val="22"/>
              </w:rPr>
            </w:pPr>
          </w:p>
        </w:tc>
        <w:tc>
          <w:tcPr>
            <w:tcW w:w="4111" w:type="dxa"/>
            <w:noWrap/>
            <w:hideMark/>
          </w:tcPr>
          <w:p w14:paraId="227E5D74" w14:textId="77777777" w:rsidR="004D1CE4" w:rsidRPr="0061276D" w:rsidRDefault="004D1CE4" w:rsidP="00DB2747">
            <w:pPr>
              <w:rPr>
                <w:rFonts w:asciiTheme="minorHAnsi" w:hAnsiTheme="minorHAnsi" w:cstheme="minorHAnsi"/>
                <w:sz w:val="20"/>
                <w:szCs w:val="20"/>
              </w:rPr>
            </w:pPr>
          </w:p>
        </w:tc>
        <w:tc>
          <w:tcPr>
            <w:tcW w:w="1554" w:type="dxa"/>
            <w:noWrap/>
            <w:hideMark/>
          </w:tcPr>
          <w:p w14:paraId="64D3FAF0" w14:textId="3AD2A1C4"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1.3.4</w:t>
            </w:r>
          </w:p>
        </w:tc>
        <w:tc>
          <w:tcPr>
            <w:tcW w:w="7513" w:type="dxa"/>
            <w:gridSpan w:val="2"/>
            <w:noWrap/>
            <w:hideMark/>
          </w:tcPr>
          <w:p w14:paraId="334EB430" w14:textId="0C917BC0"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Parallele Behandlung bei niedergelassenen Psychotherapeuten</w:t>
            </w:r>
          </w:p>
        </w:tc>
      </w:tr>
      <w:tr w:rsidR="004D1CE4" w:rsidRPr="0061276D" w14:paraId="79C7E772" w14:textId="77777777" w:rsidTr="005551AF">
        <w:trPr>
          <w:trHeight w:val="288"/>
        </w:trPr>
        <w:tc>
          <w:tcPr>
            <w:tcW w:w="562" w:type="dxa"/>
            <w:noWrap/>
            <w:hideMark/>
          </w:tcPr>
          <w:p w14:paraId="17247156"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6C1CA151" w14:textId="77777777" w:rsidR="004D1CE4" w:rsidRPr="0061276D" w:rsidRDefault="004D1CE4" w:rsidP="00DB2747">
            <w:pPr>
              <w:rPr>
                <w:rFonts w:asciiTheme="minorHAnsi" w:hAnsiTheme="minorHAnsi" w:cstheme="minorHAnsi"/>
                <w:sz w:val="20"/>
                <w:szCs w:val="20"/>
              </w:rPr>
            </w:pPr>
          </w:p>
        </w:tc>
        <w:tc>
          <w:tcPr>
            <w:tcW w:w="1554" w:type="dxa"/>
            <w:noWrap/>
            <w:hideMark/>
          </w:tcPr>
          <w:p w14:paraId="21659FA8" w14:textId="2C5BA849"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1.3.5</w:t>
            </w:r>
          </w:p>
        </w:tc>
        <w:tc>
          <w:tcPr>
            <w:tcW w:w="7513" w:type="dxa"/>
            <w:gridSpan w:val="2"/>
            <w:noWrap/>
            <w:hideMark/>
          </w:tcPr>
          <w:p w14:paraId="52AAB3FE" w14:textId="516C4896"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Praxisvertretung</w:t>
            </w:r>
          </w:p>
        </w:tc>
      </w:tr>
      <w:tr w:rsidR="004D1CE4" w:rsidRPr="0061276D" w14:paraId="37021220" w14:textId="77777777" w:rsidTr="005551AF">
        <w:trPr>
          <w:trHeight w:val="288"/>
        </w:trPr>
        <w:tc>
          <w:tcPr>
            <w:tcW w:w="562" w:type="dxa"/>
            <w:noWrap/>
            <w:hideMark/>
          </w:tcPr>
          <w:p w14:paraId="0506E7E5"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74FAE9D2" w14:textId="77777777" w:rsidR="004D1CE4" w:rsidRPr="0061276D" w:rsidRDefault="004D1CE4" w:rsidP="00DB2747">
            <w:pPr>
              <w:rPr>
                <w:rFonts w:asciiTheme="minorHAnsi" w:hAnsiTheme="minorHAnsi" w:cstheme="minorHAnsi"/>
                <w:sz w:val="20"/>
                <w:szCs w:val="20"/>
              </w:rPr>
            </w:pPr>
          </w:p>
        </w:tc>
        <w:tc>
          <w:tcPr>
            <w:tcW w:w="1554" w:type="dxa"/>
            <w:noWrap/>
            <w:hideMark/>
          </w:tcPr>
          <w:p w14:paraId="58E90EE1" w14:textId="4BEFC1EC"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1.3.6</w:t>
            </w:r>
          </w:p>
        </w:tc>
        <w:tc>
          <w:tcPr>
            <w:tcW w:w="7513" w:type="dxa"/>
            <w:gridSpan w:val="2"/>
            <w:noWrap/>
            <w:hideMark/>
          </w:tcPr>
          <w:p w14:paraId="7FECB5A9" w14:textId="443035B4"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Stationärer Krankenhausaufenthalt</w:t>
            </w:r>
          </w:p>
        </w:tc>
      </w:tr>
      <w:tr w:rsidR="004D1CE4" w:rsidRPr="0061276D" w14:paraId="627A7179" w14:textId="77777777" w:rsidTr="005551AF">
        <w:trPr>
          <w:trHeight w:val="288"/>
        </w:trPr>
        <w:tc>
          <w:tcPr>
            <w:tcW w:w="562" w:type="dxa"/>
            <w:noWrap/>
            <w:hideMark/>
          </w:tcPr>
          <w:p w14:paraId="657E27AB"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33C4C75A" w14:textId="77777777" w:rsidR="004D1CE4" w:rsidRPr="0061276D" w:rsidRDefault="004D1CE4" w:rsidP="00DB2747">
            <w:pPr>
              <w:rPr>
                <w:rFonts w:asciiTheme="minorHAnsi" w:hAnsiTheme="minorHAnsi" w:cstheme="minorHAnsi"/>
                <w:sz w:val="20"/>
                <w:szCs w:val="20"/>
              </w:rPr>
            </w:pPr>
          </w:p>
        </w:tc>
        <w:tc>
          <w:tcPr>
            <w:tcW w:w="1554" w:type="dxa"/>
            <w:noWrap/>
            <w:hideMark/>
          </w:tcPr>
          <w:p w14:paraId="1F20A7AE" w14:textId="0D139608"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1.3.7</w:t>
            </w:r>
          </w:p>
        </w:tc>
        <w:tc>
          <w:tcPr>
            <w:tcW w:w="7513" w:type="dxa"/>
            <w:gridSpan w:val="2"/>
            <w:noWrap/>
            <w:hideMark/>
          </w:tcPr>
          <w:p w14:paraId="42CD8BD6" w14:textId="25B81AC3"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Stationäre Rehamaßnahme</w:t>
            </w:r>
          </w:p>
        </w:tc>
      </w:tr>
      <w:tr w:rsidR="004D1CE4" w:rsidRPr="0061276D" w14:paraId="39FC1857" w14:textId="77777777" w:rsidTr="005551AF">
        <w:trPr>
          <w:trHeight w:val="288"/>
        </w:trPr>
        <w:tc>
          <w:tcPr>
            <w:tcW w:w="562" w:type="dxa"/>
            <w:noWrap/>
            <w:hideMark/>
          </w:tcPr>
          <w:p w14:paraId="0E601BE8"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181B4ACE" w14:textId="77777777" w:rsidR="004D1CE4" w:rsidRPr="0061276D" w:rsidRDefault="004D1CE4" w:rsidP="00DB2747">
            <w:pPr>
              <w:rPr>
                <w:rFonts w:asciiTheme="minorHAnsi" w:hAnsiTheme="minorHAnsi" w:cstheme="minorHAnsi"/>
                <w:sz w:val="20"/>
                <w:szCs w:val="20"/>
              </w:rPr>
            </w:pPr>
          </w:p>
        </w:tc>
        <w:tc>
          <w:tcPr>
            <w:tcW w:w="1554" w:type="dxa"/>
            <w:tcBorders>
              <w:bottom w:val="single" w:sz="4" w:space="0" w:color="auto"/>
            </w:tcBorders>
            <w:noWrap/>
            <w:hideMark/>
          </w:tcPr>
          <w:p w14:paraId="6A118B2A" w14:textId="26A8FB15"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1.3.9</w:t>
            </w:r>
          </w:p>
        </w:tc>
        <w:tc>
          <w:tcPr>
            <w:tcW w:w="7513" w:type="dxa"/>
            <w:gridSpan w:val="2"/>
            <w:noWrap/>
            <w:hideMark/>
          </w:tcPr>
          <w:p w14:paraId="3E14AB4A" w14:textId="2FB36F8E"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Verordnung am Entlassungstag</w:t>
            </w:r>
          </w:p>
        </w:tc>
      </w:tr>
      <w:tr w:rsidR="004D1CE4" w:rsidRPr="0061276D" w14:paraId="55F06D84" w14:textId="77777777" w:rsidTr="005551AF">
        <w:trPr>
          <w:trHeight w:val="288"/>
        </w:trPr>
        <w:tc>
          <w:tcPr>
            <w:tcW w:w="562" w:type="dxa"/>
            <w:noWrap/>
            <w:hideMark/>
          </w:tcPr>
          <w:p w14:paraId="173E8F02"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56010B8E" w14:textId="77777777" w:rsidR="004D1CE4" w:rsidRPr="0061276D" w:rsidRDefault="004D1CE4" w:rsidP="00DB2747">
            <w:pPr>
              <w:rPr>
                <w:rFonts w:asciiTheme="minorHAnsi" w:hAnsiTheme="minorHAnsi" w:cstheme="minorHAnsi"/>
                <w:sz w:val="20"/>
                <w:szCs w:val="20"/>
              </w:rPr>
            </w:pPr>
          </w:p>
        </w:tc>
        <w:tc>
          <w:tcPr>
            <w:tcW w:w="1554" w:type="dxa"/>
            <w:tcBorders>
              <w:bottom w:val="single" w:sz="4" w:space="0" w:color="auto"/>
            </w:tcBorders>
            <w:noWrap/>
          </w:tcPr>
          <w:p w14:paraId="01251989" w14:textId="11CB557C" w:rsidR="004D1CE4" w:rsidRPr="0061276D" w:rsidRDefault="004D1CE4" w:rsidP="00DB2747">
            <w:pPr>
              <w:rPr>
                <w:rFonts w:asciiTheme="minorHAnsi" w:hAnsiTheme="minorHAnsi" w:cstheme="minorHAnsi"/>
                <w:color w:val="000000"/>
                <w:sz w:val="22"/>
                <w:szCs w:val="22"/>
              </w:rPr>
            </w:pPr>
          </w:p>
        </w:tc>
        <w:tc>
          <w:tcPr>
            <w:tcW w:w="7513" w:type="dxa"/>
            <w:gridSpan w:val="2"/>
            <w:noWrap/>
          </w:tcPr>
          <w:p w14:paraId="0751532C" w14:textId="409B20AE" w:rsidR="004D1CE4" w:rsidRPr="0061276D" w:rsidRDefault="004D1CE4" w:rsidP="00DB2747">
            <w:pPr>
              <w:rPr>
                <w:rFonts w:asciiTheme="minorHAnsi" w:hAnsiTheme="minorHAnsi" w:cstheme="minorHAnsi"/>
                <w:color w:val="000000"/>
                <w:sz w:val="22"/>
                <w:szCs w:val="22"/>
              </w:rPr>
            </w:pPr>
          </w:p>
        </w:tc>
      </w:tr>
      <w:tr w:rsidR="004D1CE4" w:rsidRPr="0061276D" w14:paraId="2EE1B15F" w14:textId="77777777" w:rsidTr="005551AF">
        <w:trPr>
          <w:trHeight w:val="288"/>
        </w:trPr>
        <w:tc>
          <w:tcPr>
            <w:tcW w:w="562" w:type="dxa"/>
            <w:noWrap/>
            <w:hideMark/>
          </w:tcPr>
          <w:p w14:paraId="1567F29E" w14:textId="1A419A9D" w:rsidR="004D1CE4" w:rsidRPr="00DB2747" w:rsidRDefault="004D1CE4" w:rsidP="00DB2747">
            <w:pPr>
              <w:rPr>
                <w:rFonts w:asciiTheme="minorHAnsi" w:hAnsiTheme="minorHAnsi" w:cstheme="minorHAnsi"/>
                <w:sz w:val="22"/>
                <w:szCs w:val="22"/>
              </w:rPr>
            </w:pPr>
            <w:r w:rsidRPr="00DB2747">
              <w:rPr>
                <w:rFonts w:ascii="Arial" w:eastAsiaTheme="minorHAnsi" w:hAnsi="Arial" w:cs="Arial"/>
                <w:b/>
                <w:sz w:val="22"/>
                <w:szCs w:val="22"/>
                <w:lang w:eastAsia="en-US"/>
              </w:rPr>
              <w:t>2</w:t>
            </w:r>
          </w:p>
        </w:tc>
        <w:tc>
          <w:tcPr>
            <w:tcW w:w="4111" w:type="dxa"/>
            <w:noWrap/>
            <w:hideMark/>
          </w:tcPr>
          <w:p w14:paraId="4FD35C55" w14:textId="61D545FC" w:rsidR="004D1CE4" w:rsidRPr="0061276D" w:rsidRDefault="004D1CE4" w:rsidP="00DB2747">
            <w:pPr>
              <w:rPr>
                <w:rFonts w:asciiTheme="minorHAnsi" w:hAnsiTheme="minorHAnsi" w:cstheme="minorHAnsi"/>
                <w:sz w:val="20"/>
                <w:szCs w:val="20"/>
              </w:rPr>
            </w:pPr>
            <w:r w:rsidRPr="00B10E36">
              <w:rPr>
                <w:rFonts w:ascii="Arial" w:eastAsiaTheme="minorHAnsi" w:hAnsi="Arial" w:cs="Arial"/>
                <w:b/>
                <w:sz w:val="22"/>
                <w:szCs w:val="22"/>
                <w:lang w:eastAsia="en-US"/>
              </w:rPr>
              <w:t>Spezifische Regelungen Bayern zu § 118 Abs.</w:t>
            </w:r>
            <w:r>
              <w:rPr>
                <w:rFonts w:ascii="Arial" w:eastAsiaTheme="minorHAnsi" w:hAnsi="Arial" w:cs="Arial"/>
                <w:b/>
                <w:sz w:val="22"/>
                <w:szCs w:val="22"/>
                <w:lang w:eastAsia="en-US"/>
              </w:rPr>
              <w:t xml:space="preserve"> </w:t>
            </w:r>
            <w:r w:rsidRPr="00B10E36">
              <w:rPr>
                <w:rFonts w:ascii="Arial" w:eastAsiaTheme="minorHAnsi" w:hAnsi="Arial" w:cs="Arial"/>
                <w:b/>
                <w:sz w:val="22"/>
                <w:szCs w:val="22"/>
                <w:lang w:eastAsia="en-US"/>
              </w:rPr>
              <w:t>3 SGB V-Institutsambulanzen</w:t>
            </w:r>
          </w:p>
        </w:tc>
        <w:tc>
          <w:tcPr>
            <w:tcW w:w="1554" w:type="dxa"/>
            <w:noWrap/>
            <w:hideMark/>
          </w:tcPr>
          <w:p w14:paraId="7A8A06E9" w14:textId="77777777" w:rsidR="004D1CE4" w:rsidRPr="0061276D" w:rsidRDefault="004D1CE4" w:rsidP="00DB2747">
            <w:pPr>
              <w:rPr>
                <w:rFonts w:asciiTheme="minorHAnsi" w:hAnsiTheme="minorHAnsi" w:cstheme="minorHAnsi"/>
                <w:sz w:val="20"/>
                <w:szCs w:val="20"/>
              </w:rPr>
            </w:pPr>
          </w:p>
        </w:tc>
        <w:tc>
          <w:tcPr>
            <w:tcW w:w="7513" w:type="dxa"/>
            <w:gridSpan w:val="2"/>
            <w:noWrap/>
            <w:hideMark/>
          </w:tcPr>
          <w:p w14:paraId="1C381747" w14:textId="77777777" w:rsidR="004D1CE4" w:rsidRPr="0061276D" w:rsidRDefault="004D1CE4" w:rsidP="00DB2747">
            <w:pPr>
              <w:rPr>
                <w:rFonts w:asciiTheme="minorHAnsi" w:hAnsiTheme="minorHAnsi" w:cstheme="minorHAnsi"/>
                <w:sz w:val="20"/>
                <w:szCs w:val="20"/>
              </w:rPr>
            </w:pPr>
          </w:p>
        </w:tc>
      </w:tr>
      <w:tr w:rsidR="005551AF" w:rsidRPr="0061276D" w14:paraId="2BAC874F" w14:textId="77777777" w:rsidTr="005551AF">
        <w:trPr>
          <w:trHeight w:val="288"/>
        </w:trPr>
        <w:tc>
          <w:tcPr>
            <w:tcW w:w="562" w:type="dxa"/>
            <w:noWrap/>
          </w:tcPr>
          <w:p w14:paraId="6D3262AC" w14:textId="77777777" w:rsidR="005551AF" w:rsidRPr="00DB2747" w:rsidRDefault="005551AF" w:rsidP="00DB2747">
            <w:pPr>
              <w:rPr>
                <w:rFonts w:asciiTheme="minorHAnsi" w:hAnsiTheme="minorHAnsi" w:cstheme="minorHAnsi"/>
                <w:sz w:val="22"/>
                <w:szCs w:val="22"/>
              </w:rPr>
            </w:pPr>
          </w:p>
        </w:tc>
        <w:tc>
          <w:tcPr>
            <w:tcW w:w="4111" w:type="dxa"/>
            <w:noWrap/>
          </w:tcPr>
          <w:p w14:paraId="41006016" w14:textId="77777777" w:rsidR="005551AF" w:rsidRPr="0061276D" w:rsidRDefault="005551AF" w:rsidP="00DB2747">
            <w:pPr>
              <w:rPr>
                <w:rFonts w:asciiTheme="minorHAnsi" w:hAnsiTheme="minorHAnsi" w:cstheme="minorHAnsi"/>
                <w:color w:val="000000"/>
                <w:sz w:val="22"/>
                <w:szCs w:val="22"/>
              </w:rPr>
            </w:pPr>
          </w:p>
        </w:tc>
        <w:tc>
          <w:tcPr>
            <w:tcW w:w="1554" w:type="dxa"/>
            <w:noWrap/>
          </w:tcPr>
          <w:p w14:paraId="467312B8" w14:textId="77777777" w:rsidR="005551AF" w:rsidRPr="00DB2747" w:rsidRDefault="005551AF" w:rsidP="00DB2747">
            <w:pPr>
              <w:rPr>
                <w:rFonts w:asciiTheme="minorHAnsi" w:hAnsiTheme="minorHAnsi" w:cstheme="minorHAnsi"/>
                <w:sz w:val="22"/>
                <w:szCs w:val="22"/>
              </w:rPr>
            </w:pPr>
          </w:p>
        </w:tc>
        <w:tc>
          <w:tcPr>
            <w:tcW w:w="7513" w:type="dxa"/>
            <w:gridSpan w:val="2"/>
            <w:noWrap/>
          </w:tcPr>
          <w:p w14:paraId="47A1F7CE" w14:textId="77777777" w:rsidR="005551AF" w:rsidRPr="00DB2747" w:rsidRDefault="005551AF" w:rsidP="00DB2747">
            <w:pPr>
              <w:rPr>
                <w:rFonts w:asciiTheme="minorHAnsi" w:hAnsiTheme="minorHAnsi" w:cstheme="minorHAnsi"/>
                <w:sz w:val="22"/>
                <w:szCs w:val="22"/>
              </w:rPr>
            </w:pPr>
          </w:p>
        </w:tc>
      </w:tr>
      <w:tr w:rsidR="004D1CE4" w:rsidRPr="0061276D" w14:paraId="09085440" w14:textId="77777777" w:rsidTr="005551AF">
        <w:trPr>
          <w:trHeight w:val="288"/>
        </w:trPr>
        <w:tc>
          <w:tcPr>
            <w:tcW w:w="562" w:type="dxa"/>
            <w:noWrap/>
            <w:hideMark/>
          </w:tcPr>
          <w:p w14:paraId="48E6839A" w14:textId="193F8B50" w:rsidR="004D1CE4" w:rsidRPr="0061276D" w:rsidRDefault="004D1CE4" w:rsidP="00DB2747">
            <w:pPr>
              <w:rPr>
                <w:rFonts w:asciiTheme="minorHAnsi" w:hAnsiTheme="minorHAnsi" w:cstheme="minorHAnsi"/>
                <w:b/>
                <w:bCs/>
                <w:color w:val="000000"/>
                <w:sz w:val="22"/>
                <w:szCs w:val="22"/>
              </w:rPr>
            </w:pPr>
            <w:r w:rsidRPr="00DB2747">
              <w:rPr>
                <w:rFonts w:asciiTheme="minorHAnsi" w:hAnsiTheme="minorHAnsi" w:cstheme="minorHAnsi"/>
                <w:sz w:val="22"/>
                <w:szCs w:val="22"/>
              </w:rPr>
              <w:t>2.1</w:t>
            </w:r>
          </w:p>
        </w:tc>
        <w:tc>
          <w:tcPr>
            <w:tcW w:w="4111" w:type="dxa"/>
            <w:noWrap/>
            <w:hideMark/>
          </w:tcPr>
          <w:p w14:paraId="4E538801" w14:textId="10C4DB66" w:rsidR="004D1CE4" w:rsidRPr="0061276D" w:rsidRDefault="004D1CE4" w:rsidP="00DB2747">
            <w:pPr>
              <w:rPr>
                <w:rFonts w:asciiTheme="minorHAnsi" w:hAnsiTheme="minorHAnsi" w:cstheme="minorHAnsi"/>
                <w:b/>
                <w:bCs/>
                <w:color w:val="000000"/>
                <w:sz w:val="22"/>
                <w:szCs w:val="22"/>
              </w:rPr>
            </w:pPr>
            <w:r w:rsidRPr="0061276D">
              <w:rPr>
                <w:rFonts w:asciiTheme="minorHAnsi" w:hAnsiTheme="minorHAnsi" w:cstheme="minorHAnsi"/>
                <w:color w:val="000000"/>
                <w:sz w:val="22"/>
                <w:szCs w:val="22"/>
              </w:rPr>
              <w:t>Regelungen allgemein</w:t>
            </w:r>
          </w:p>
        </w:tc>
        <w:tc>
          <w:tcPr>
            <w:tcW w:w="1554" w:type="dxa"/>
            <w:noWrap/>
            <w:hideMark/>
          </w:tcPr>
          <w:p w14:paraId="75957F21" w14:textId="0414AE00" w:rsidR="004D1CE4" w:rsidRPr="00DB2747" w:rsidRDefault="004D1CE4" w:rsidP="00DB2747">
            <w:pPr>
              <w:rPr>
                <w:rFonts w:asciiTheme="minorHAnsi" w:hAnsiTheme="minorHAnsi" w:cstheme="minorHAnsi"/>
                <w:b/>
                <w:bCs/>
                <w:sz w:val="22"/>
                <w:szCs w:val="22"/>
              </w:rPr>
            </w:pPr>
            <w:r w:rsidRPr="00DB2747">
              <w:rPr>
                <w:rFonts w:asciiTheme="minorHAnsi" w:hAnsiTheme="minorHAnsi" w:cstheme="minorHAnsi"/>
                <w:sz w:val="22"/>
                <w:szCs w:val="22"/>
              </w:rPr>
              <w:t>2.1.3</w:t>
            </w:r>
          </w:p>
        </w:tc>
        <w:tc>
          <w:tcPr>
            <w:tcW w:w="7513" w:type="dxa"/>
            <w:gridSpan w:val="2"/>
            <w:noWrap/>
            <w:hideMark/>
          </w:tcPr>
          <w:p w14:paraId="033AFCFE" w14:textId="1C1D7DB4" w:rsidR="004D1CE4" w:rsidRPr="0061276D" w:rsidRDefault="004D1CE4" w:rsidP="00DB2747">
            <w:pPr>
              <w:rPr>
                <w:rFonts w:asciiTheme="minorHAnsi" w:hAnsiTheme="minorHAnsi" w:cstheme="minorHAnsi"/>
                <w:b/>
                <w:bCs/>
                <w:color w:val="000000"/>
                <w:sz w:val="22"/>
                <w:szCs w:val="22"/>
              </w:rPr>
            </w:pPr>
            <w:r w:rsidRPr="00DB2747">
              <w:rPr>
                <w:rFonts w:asciiTheme="minorHAnsi" w:hAnsiTheme="minorHAnsi" w:cstheme="minorHAnsi"/>
                <w:sz w:val="22"/>
                <w:szCs w:val="22"/>
              </w:rPr>
              <w:t>Beratungsleistungen</w:t>
            </w:r>
          </w:p>
        </w:tc>
      </w:tr>
      <w:tr w:rsidR="004D1CE4" w:rsidRPr="0061276D" w14:paraId="72F9E999" w14:textId="77777777" w:rsidTr="005551AF">
        <w:trPr>
          <w:trHeight w:val="288"/>
        </w:trPr>
        <w:tc>
          <w:tcPr>
            <w:tcW w:w="562" w:type="dxa"/>
            <w:noWrap/>
            <w:hideMark/>
          </w:tcPr>
          <w:p w14:paraId="1F94C2AB" w14:textId="326C1292" w:rsidR="004D1CE4" w:rsidRPr="00DB2747" w:rsidRDefault="004D1CE4" w:rsidP="00DB2747">
            <w:pPr>
              <w:rPr>
                <w:rFonts w:asciiTheme="minorHAnsi" w:hAnsiTheme="minorHAnsi" w:cstheme="minorHAnsi"/>
                <w:sz w:val="22"/>
                <w:szCs w:val="22"/>
              </w:rPr>
            </w:pPr>
          </w:p>
        </w:tc>
        <w:tc>
          <w:tcPr>
            <w:tcW w:w="4111" w:type="dxa"/>
            <w:noWrap/>
            <w:hideMark/>
          </w:tcPr>
          <w:p w14:paraId="28FCD30F" w14:textId="77113D02" w:rsidR="004D1CE4" w:rsidRPr="0061276D" w:rsidRDefault="004D1CE4" w:rsidP="00DB2747">
            <w:pPr>
              <w:rPr>
                <w:rFonts w:asciiTheme="minorHAnsi" w:hAnsiTheme="minorHAnsi" w:cstheme="minorHAnsi"/>
                <w:color w:val="000000"/>
                <w:sz w:val="22"/>
                <w:szCs w:val="22"/>
              </w:rPr>
            </w:pPr>
          </w:p>
        </w:tc>
        <w:tc>
          <w:tcPr>
            <w:tcW w:w="1554" w:type="dxa"/>
            <w:noWrap/>
          </w:tcPr>
          <w:p w14:paraId="0639B2D8" w14:textId="203B5017"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2.1.5</w:t>
            </w:r>
          </w:p>
        </w:tc>
        <w:tc>
          <w:tcPr>
            <w:tcW w:w="7513" w:type="dxa"/>
            <w:gridSpan w:val="2"/>
            <w:noWrap/>
          </w:tcPr>
          <w:p w14:paraId="6E8EAFC4" w14:textId="2315056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bCs/>
                <w:sz w:val="22"/>
                <w:szCs w:val="22"/>
              </w:rPr>
              <w:t>Erstellung eines Arztbriefes ohne Patientenkontakt</w:t>
            </w:r>
          </w:p>
        </w:tc>
      </w:tr>
      <w:tr w:rsidR="004D1CE4" w:rsidRPr="0061276D" w14:paraId="41692FB5" w14:textId="77777777" w:rsidTr="005551AF">
        <w:trPr>
          <w:trHeight w:val="288"/>
        </w:trPr>
        <w:tc>
          <w:tcPr>
            <w:tcW w:w="562" w:type="dxa"/>
            <w:noWrap/>
            <w:hideMark/>
          </w:tcPr>
          <w:p w14:paraId="788390AF" w14:textId="77777777" w:rsidR="004D1CE4" w:rsidRPr="00DB2747" w:rsidRDefault="004D1CE4" w:rsidP="00DB2747">
            <w:pPr>
              <w:rPr>
                <w:rFonts w:asciiTheme="minorHAnsi" w:hAnsiTheme="minorHAnsi" w:cstheme="minorHAnsi"/>
                <w:sz w:val="22"/>
                <w:szCs w:val="22"/>
              </w:rPr>
            </w:pPr>
          </w:p>
        </w:tc>
        <w:tc>
          <w:tcPr>
            <w:tcW w:w="4111" w:type="dxa"/>
            <w:noWrap/>
            <w:hideMark/>
          </w:tcPr>
          <w:p w14:paraId="6A527E63" w14:textId="77777777" w:rsidR="004D1CE4" w:rsidRPr="0061276D" w:rsidRDefault="004D1CE4" w:rsidP="00DB2747">
            <w:pPr>
              <w:rPr>
                <w:rFonts w:asciiTheme="minorHAnsi" w:hAnsiTheme="minorHAnsi" w:cstheme="minorHAnsi"/>
                <w:sz w:val="20"/>
                <w:szCs w:val="20"/>
              </w:rPr>
            </w:pPr>
          </w:p>
        </w:tc>
        <w:tc>
          <w:tcPr>
            <w:tcW w:w="1554" w:type="dxa"/>
            <w:noWrap/>
          </w:tcPr>
          <w:p w14:paraId="79C77CB2" w14:textId="77C8E992"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2.1.7</w:t>
            </w:r>
          </w:p>
        </w:tc>
        <w:tc>
          <w:tcPr>
            <w:tcW w:w="7513" w:type="dxa"/>
            <w:gridSpan w:val="2"/>
            <w:noWrap/>
          </w:tcPr>
          <w:p w14:paraId="7507A59B" w14:textId="58A4700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Leistungsziffernsystematik</w:t>
            </w:r>
          </w:p>
        </w:tc>
      </w:tr>
      <w:tr w:rsidR="004D1CE4" w:rsidRPr="0061276D" w14:paraId="37469F24" w14:textId="77777777" w:rsidTr="005551AF">
        <w:trPr>
          <w:trHeight w:val="288"/>
        </w:trPr>
        <w:tc>
          <w:tcPr>
            <w:tcW w:w="562" w:type="dxa"/>
            <w:noWrap/>
            <w:hideMark/>
          </w:tcPr>
          <w:p w14:paraId="7B580B17" w14:textId="77777777" w:rsidR="004D1CE4" w:rsidRPr="00DB2747" w:rsidRDefault="004D1CE4" w:rsidP="00DB2747">
            <w:pPr>
              <w:rPr>
                <w:rFonts w:asciiTheme="minorHAnsi" w:hAnsiTheme="minorHAnsi" w:cstheme="minorHAnsi"/>
                <w:sz w:val="22"/>
                <w:szCs w:val="22"/>
              </w:rPr>
            </w:pPr>
          </w:p>
        </w:tc>
        <w:tc>
          <w:tcPr>
            <w:tcW w:w="4111" w:type="dxa"/>
            <w:noWrap/>
            <w:hideMark/>
          </w:tcPr>
          <w:p w14:paraId="7BAE7779" w14:textId="77777777" w:rsidR="004D1CE4" w:rsidRPr="0061276D" w:rsidRDefault="004D1CE4" w:rsidP="00DB2747">
            <w:pPr>
              <w:rPr>
                <w:rFonts w:asciiTheme="minorHAnsi" w:hAnsiTheme="minorHAnsi" w:cstheme="minorHAnsi"/>
                <w:sz w:val="20"/>
                <w:szCs w:val="20"/>
              </w:rPr>
            </w:pPr>
          </w:p>
        </w:tc>
        <w:tc>
          <w:tcPr>
            <w:tcW w:w="1554" w:type="dxa"/>
            <w:noWrap/>
          </w:tcPr>
          <w:p w14:paraId="6F2A628D" w14:textId="17F1195E"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2.1.9</w:t>
            </w:r>
          </w:p>
        </w:tc>
        <w:tc>
          <w:tcPr>
            <w:tcW w:w="7513" w:type="dxa"/>
            <w:gridSpan w:val="2"/>
            <w:noWrap/>
          </w:tcPr>
          <w:p w14:paraId="4813B654" w14:textId="626B9B4B"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Soziotherapie</w:t>
            </w:r>
          </w:p>
        </w:tc>
      </w:tr>
      <w:tr w:rsidR="004D1CE4" w:rsidRPr="0061276D" w14:paraId="108D1E4C" w14:textId="77777777" w:rsidTr="005551AF">
        <w:trPr>
          <w:trHeight w:val="288"/>
        </w:trPr>
        <w:tc>
          <w:tcPr>
            <w:tcW w:w="562" w:type="dxa"/>
            <w:noWrap/>
            <w:hideMark/>
          </w:tcPr>
          <w:p w14:paraId="2B53EDC3"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4DD528D5" w14:textId="77777777" w:rsidR="004D1CE4" w:rsidRPr="0061276D" w:rsidRDefault="004D1CE4" w:rsidP="00DB2747">
            <w:pPr>
              <w:rPr>
                <w:rFonts w:asciiTheme="minorHAnsi" w:hAnsiTheme="minorHAnsi" w:cstheme="minorHAnsi"/>
                <w:sz w:val="20"/>
                <w:szCs w:val="20"/>
              </w:rPr>
            </w:pPr>
          </w:p>
        </w:tc>
        <w:tc>
          <w:tcPr>
            <w:tcW w:w="1554" w:type="dxa"/>
            <w:noWrap/>
          </w:tcPr>
          <w:p w14:paraId="058C48CD" w14:textId="64DB1801" w:rsidR="004D1CE4" w:rsidRPr="00DB2747" w:rsidRDefault="004D1CE4" w:rsidP="00DB2747">
            <w:pPr>
              <w:rPr>
                <w:rFonts w:asciiTheme="minorHAnsi" w:hAnsiTheme="minorHAnsi" w:cstheme="minorHAnsi"/>
                <w:sz w:val="22"/>
                <w:szCs w:val="22"/>
              </w:rPr>
            </w:pPr>
            <w:r w:rsidRPr="0061276D">
              <w:rPr>
                <w:rFonts w:asciiTheme="minorHAnsi" w:hAnsiTheme="minorHAnsi" w:cstheme="minorHAnsi"/>
                <w:color w:val="000000"/>
                <w:sz w:val="22"/>
                <w:szCs w:val="22"/>
              </w:rPr>
              <w:t>2.1.10</w:t>
            </w:r>
          </w:p>
        </w:tc>
        <w:tc>
          <w:tcPr>
            <w:tcW w:w="7513" w:type="dxa"/>
            <w:gridSpan w:val="2"/>
            <w:noWrap/>
          </w:tcPr>
          <w:p w14:paraId="71D196A5" w14:textId="395708DA" w:rsidR="004D1CE4" w:rsidRPr="00DB2747" w:rsidRDefault="004D1CE4" w:rsidP="00DB2747">
            <w:pPr>
              <w:rPr>
                <w:rFonts w:asciiTheme="minorHAnsi" w:hAnsiTheme="minorHAnsi" w:cstheme="minorHAnsi"/>
                <w:sz w:val="22"/>
                <w:szCs w:val="22"/>
              </w:rPr>
            </w:pPr>
            <w:r w:rsidRPr="0061276D">
              <w:rPr>
                <w:rFonts w:asciiTheme="minorHAnsi" w:hAnsiTheme="minorHAnsi" w:cstheme="minorHAnsi"/>
                <w:color w:val="000000"/>
                <w:sz w:val="22"/>
                <w:szCs w:val="22"/>
              </w:rPr>
              <w:t>Supervision</w:t>
            </w:r>
          </w:p>
        </w:tc>
      </w:tr>
      <w:tr w:rsidR="004D1CE4" w:rsidRPr="00B10E36" w14:paraId="6EEB9F46" w14:textId="77777777" w:rsidTr="005551AF">
        <w:trPr>
          <w:trHeight w:val="288"/>
        </w:trPr>
        <w:tc>
          <w:tcPr>
            <w:tcW w:w="562" w:type="dxa"/>
            <w:noWrap/>
            <w:hideMark/>
          </w:tcPr>
          <w:p w14:paraId="10D001E2" w14:textId="77777777" w:rsidR="004D1CE4" w:rsidRPr="00B10E36" w:rsidRDefault="004D1CE4" w:rsidP="00DB2747">
            <w:pPr>
              <w:rPr>
                <w:rFonts w:asciiTheme="minorHAnsi" w:hAnsiTheme="minorHAnsi" w:cstheme="minorHAnsi"/>
                <w:color w:val="000000"/>
                <w:sz w:val="22"/>
                <w:szCs w:val="22"/>
              </w:rPr>
            </w:pPr>
          </w:p>
        </w:tc>
        <w:tc>
          <w:tcPr>
            <w:tcW w:w="4111" w:type="dxa"/>
            <w:noWrap/>
            <w:hideMark/>
          </w:tcPr>
          <w:p w14:paraId="16E4FE64" w14:textId="77777777" w:rsidR="004D1CE4" w:rsidRPr="00B10E36" w:rsidRDefault="004D1CE4" w:rsidP="00DB2747">
            <w:pPr>
              <w:rPr>
                <w:rFonts w:asciiTheme="minorHAnsi" w:hAnsiTheme="minorHAnsi" w:cstheme="minorHAnsi"/>
                <w:color w:val="000000"/>
                <w:sz w:val="22"/>
                <w:szCs w:val="22"/>
              </w:rPr>
            </w:pPr>
          </w:p>
        </w:tc>
        <w:tc>
          <w:tcPr>
            <w:tcW w:w="1554" w:type="dxa"/>
            <w:noWrap/>
          </w:tcPr>
          <w:p w14:paraId="69FFFA26" w14:textId="78BB5926"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2.1.11</w:t>
            </w:r>
          </w:p>
        </w:tc>
        <w:tc>
          <w:tcPr>
            <w:tcW w:w="7513" w:type="dxa"/>
            <w:gridSpan w:val="2"/>
            <w:noWrap/>
          </w:tcPr>
          <w:p w14:paraId="1C2C6A02" w14:textId="37CD0399" w:rsidR="004D1CE4" w:rsidRPr="00B10E36"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Nachbeobachtung nach Injektionen</w:t>
            </w:r>
          </w:p>
        </w:tc>
      </w:tr>
      <w:tr w:rsidR="004D1CE4" w:rsidRPr="00B10E36" w14:paraId="75EFB73F" w14:textId="77777777" w:rsidTr="005551AF">
        <w:trPr>
          <w:trHeight w:val="288"/>
        </w:trPr>
        <w:tc>
          <w:tcPr>
            <w:tcW w:w="562" w:type="dxa"/>
            <w:noWrap/>
            <w:hideMark/>
          </w:tcPr>
          <w:p w14:paraId="604A2462" w14:textId="77777777" w:rsidR="004D1CE4" w:rsidRPr="00B10E36" w:rsidRDefault="004D1CE4" w:rsidP="00DB2747">
            <w:pPr>
              <w:rPr>
                <w:rFonts w:asciiTheme="minorHAnsi" w:hAnsiTheme="minorHAnsi" w:cstheme="minorHAnsi"/>
                <w:color w:val="000000"/>
                <w:sz w:val="22"/>
                <w:szCs w:val="22"/>
              </w:rPr>
            </w:pPr>
          </w:p>
        </w:tc>
        <w:tc>
          <w:tcPr>
            <w:tcW w:w="4111" w:type="dxa"/>
            <w:noWrap/>
            <w:hideMark/>
          </w:tcPr>
          <w:p w14:paraId="1762A96F" w14:textId="77777777" w:rsidR="004D1CE4" w:rsidRPr="00B10E36" w:rsidRDefault="004D1CE4" w:rsidP="00DB2747">
            <w:pPr>
              <w:rPr>
                <w:rFonts w:asciiTheme="minorHAnsi" w:hAnsiTheme="minorHAnsi" w:cstheme="minorHAnsi"/>
                <w:color w:val="000000"/>
                <w:sz w:val="22"/>
                <w:szCs w:val="22"/>
              </w:rPr>
            </w:pPr>
          </w:p>
        </w:tc>
        <w:tc>
          <w:tcPr>
            <w:tcW w:w="1554" w:type="dxa"/>
            <w:noWrap/>
          </w:tcPr>
          <w:p w14:paraId="3F0AB508" w14:textId="2E140F93" w:rsidR="004D1CE4" w:rsidRPr="00B10E36"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2.1.12</w:t>
            </w:r>
          </w:p>
        </w:tc>
        <w:tc>
          <w:tcPr>
            <w:tcW w:w="7513" w:type="dxa"/>
            <w:gridSpan w:val="2"/>
            <w:noWrap/>
          </w:tcPr>
          <w:p w14:paraId="18CFC61B" w14:textId="4D4BF620" w:rsidR="004D1CE4" w:rsidRPr="00B10E36" w:rsidRDefault="004D1CE4" w:rsidP="00DB2747">
            <w:pPr>
              <w:rPr>
                <w:rFonts w:asciiTheme="minorHAnsi" w:hAnsiTheme="minorHAnsi" w:cstheme="minorHAnsi"/>
                <w:color w:val="000000"/>
                <w:sz w:val="22"/>
                <w:szCs w:val="22"/>
              </w:rPr>
            </w:pPr>
            <w:r w:rsidRPr="00B10E36">
              <w:rPr>
                <w:rFonts w:asciiTheme="minorHAnsi" w:hAnsiTheme="minorHAnsi" w:cstheme="minorHAnsi"/>
                <w:color w:val="000000"/>
                <w:sz w:val="22"/>
                <w:szCs w:val="22"/>
              </w:rPr>
              <w:t>Arzneimittelverordnung ohne Patientenkontakt</w:t>
            </w:r>
          </w:p>
        </w:tc>
      </w:tr>
      <w:tr w:rsidR="004D1CE4" w:rsidRPr="00B10E36" w14:paraId="008C105A" w14:textId="77777777" w:rsidTr="005551AF">
        <w:trPr>
          <w:trHeight w:val="288"/>
        </w:trPr>
        <w:tc>
          <w:tcPr>
            <w:tcW w:w="562" w:type="dxa"/>
            <w:noWrap/>
            <w:hideMark/>
          </w:tcPr>
          <w:p w14:paraId="0855E9FF" w14:textId="77777777" w:rsidR="004D1CE4" w:rsidRPr="00B10E36" w:rsidRDefault="004D1CE4" w:rsidP="00DB2747">
            <w:pPr>
              <w:rPr>
                <w:rFonts w:asciiTheme="minorHAnsi" w:hAnsiTheme="minorHAnsi" w:cstheme="minorHAnsi"/>
                <w:color w:val="000000"/>
                <w:sz w:val="22"/>
                <w:szCs w:val="22"/>
              </w:rPr>
            </w:pPr>
          </w:p>
        </w:tc>
        <w:tc>
          <w:tcPr>
            <w:tcW w:w="4111" w:type="dxa"/>
            <w:noWrap/>
            <w:hideMark/>
          </w:tcPr>
          <w:p w14:paraId="62FE83B9" w14:textId="77777777" w:rsidR="004D1CE4" w:rsidRPr="00B10E36" w:rsidRDefault="004D1CE4" w:rsidP="00DB2747">
            <w:pPr>
              <w:rPr>
                <w:rFonts w:asciiTheme="minorHAnsi" w:hAnsiTheme="minorHAnsi" w:cstheme="minorHAnsi"/>
                <w:color w:val="000000"/>
                <w:sz w:val="22"/>
                <w:szCs w:val="22"/>
              </w:rPr>
            </w:pPr>
          </w:p>
        </w:tc>
        <w:tc>
          <w:tcPr>
            <w:tcW w:w="1554" w:type="dxa"/>
            <w:noWrap/>
          </w:tcPr>
          <w:p w14:paraId="591030DD" w14:textId="5D08AC42"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sz w:val="22"/>
                <w:szCs w:val="22"/>
              </w:rPr>
              <w:t>2.1.13</w:t>
            </w:r>
          </w:p>
        </w:tc>
        <w:tc>
          <w:tcPr>
            <w:tcW w:w="7513" w:type="dxa"/>
            <w:gridSpan w:val="2"/>
            <w:noWrap/>
          </w:tcPr>
          <w:p w14:paraId="5D2F7443" w14:textId="18C95E4A"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sz w:val="22"/>
                <w:szCs w:val="22"/>
              </w:rPr>
              <w:t>Arzneimittelverordnung mit ärztlichem Patientenkontakt</w:t>
            </w:r>
          </w:p>
        </w:tc>
      </w:tr>
      <w:tr w:rsidR="004D1CE4" w:rsidRPr="0061276D" w14:paraId="65084A9C" w14:textId="77777777" w:rsidTr="005551AF">
        <w:trPr>
          <w:trHeight w:val="288"/>
        </w:trPr>
        <w:tc>
          <w:tcPr>
            <w:tcW w:w="562" w:type="dxa"/>
            <w:noWrap/>
            <w:hideMark/>
          </w:tcPr>
          <w:p w14:paraId="185BF04A"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1A1E0514" w14:textId="77777777" w:rsidR="004D1CE4" w:rsidRPr="0061276D" w:rsidRDefault="004D1CE4" w:rsidP="00DB2747">
            <w:pPr>
              <w:rPr>
                <w:rFonts w:asciiTheme="minorHAnsi" w:hAnsiTheme="minorHAnsi" w:cstheme="minorHAnsi"/>
                <w:sz w:val="20"/>
                <w:szCs w:val="20"/>
              </w:rPr>
            </w:pPr>
          </w:p>
        </w:tc>
        <w:tc>
          <w:tcPr>
            <w:tcW w:w="1554" w:type="dxa"/>
            <w:noWrap/>
          </w:tcPr>
          <w:p w14:paraId="0CB5861B" w14:textId="4157DBC3"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2.1.14</w:t>
            </w:r>
          </w:p>
        </w:tc>
        <w:tc>
          <w:tcPr>
            <w:tcW w:w="7513" w:type="dxa"/>
            <w:gridSpan w:val="2"/>
            <w:noWrap/>
          </w:tcPr>
          <w:p w14:paraId="2AE66DA0" w14:textId="45E285FF"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sz w:val="22"/>
                <w:szCs w:val="22"/>
              </w:rPr>
              <w:t>Heilmittelverordnung ohne Patientenkontakt</w:t>
            </w:r>
          </w:p>
        </w:tc>
      </w:tr>
      <w:tr w:rsidR="004D1CE4" w:rsidRPr="0061276D" w14:paraId="70434A9A" w14:textId="77777777" w:rsidTr="005551AF">
        <w:trPr>
          <w:trHeight w:val="288"/>
        </w:trPr>
        <w:tc>
          <w:tcPr>
            <w:tcW w:w="562" w:type="dxa"/>
            <w:noWrap/>
            <w:hideMark/>
          </w:tcPr>
          <w:p w14:paraId="0A231CB4"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0010CEE8" w14:textId="77777777" w:rsidR="004D1CE4" w:rsidRPr="0061276D" w:rsidRDefault="004D1CE4" w:rsidP="00DB2747">
            <w:pPr>
              <w:rPr>
                <w:rFonts w:asciiTheme="minorHAnsi" w:hAnsiTheme="minorHAnsi" w:cstheme="minorHAnsi"/>
                <w:sz w:val="20"/>
                <w:szCs w:val="20"/>
              </w:rPr>
            </w:pPr>
          </w:p>
        </w:tc>
        <w:tc>
          <w:tcPr>
            <w:tcW w:w="1554" w:type="dxa"/>
            <w:noWrap/>
          </w:tcPr>
          <w:p w14:paraId="1FDE3F86" w14:textId="66931CF0"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2.1.16</w:t>
            </w:r>
          </w:p>
        </w:tc>
        <w:tc>
          <w:tcPr>
            <w:tcW w:w="7513" w:type="dxa"/>
            <w:gridSpan w:val="2"/>
            <w:noWrap/>
          </w:tcPr>
          <w:p w14:paraId="2C37B5B9" w14:textId="495509A8"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Verordnungsvordruck Verwendung BSNR</w:t>
            </w:r>
          </w:p>
        </w:tc>
      </w:tr>
      <w:tr w:rsidR="004D1CE4" w:rsidRPr="0061276D" w14:paraId="473CA5E7" w14:textId="77777777" w:rsidTr="005551AF">
        <w:trPr>
          <w:trHeight w:val="288"/>
        </w:trPr>
        <w:tc>
          <w:tcPr>
            <w:tcW w:w="562" w:type="dxa"/>
            <w:noWrap/>
            <w:hideMark/>
          </w:tcPr>
          <w:p w14:paraId="6091F253"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5A0A4812" w14:textId="77777777" w:rsidR="004D1CE4" w:rsidRPr="0061276D" w:rsidRDefault="004D1CE4" w:rsidP="00DB2747">
            <w:pPr>
              <w:rPr>
                <w:rFonts w:asciiTheme="minorHAnsi" w:hAnsiTheme="minorHAnsi" w:cstheme="minorHAnsi"/>
                <w:sz w:val="20"/>
                <w:szCs w:val="20"/>
              </w:rPr>
            </w:pPr>
          </w:p>
        </w:tc>
        <w:tc>
          <w:tcPr>
            <w:tcW w:w="1554" w:type="dxa"/>
            <w:noWrap/>
          </w:tcPr>
          <w:p w14:paraId="577BC649" w14:textId="2E76C541"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2.1.17</w:t>
            </w:r>
          </w:p>
        </w:tc>
        <w:tc>
          <w:tcPr>
            <w:tcW w:w="7513" w:type="dxa"/>
            <w:gridSpan w:val="2"/>
            <w:noWrap/>
          </w:tcPr>
          <w:p w14:paraId="4272C000" w14:textId="7212BFF3"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Arbeitsdiagnostik</w:t>
            </w:r>
          </w:p>
        </w:tc>
      </w:tr>
      <w:tr w:rsidR="004D1CE4" w:rsidRPr="0009009F" w14:paraId="5D6F2CC4" w14:textId="77777777" w:rsidTr="005551AF">
        <w:trPr>
          <w:trHeight w:val="288"/>
        </w:trPr>
        <w:tc>
          <w:tcPr>
            <w:tcW w:w="562" w:type="dxa"/>
            <w:noWrap/>
          </w:tcPr>
          <w:p w14:paraId="7CB569F4" w14:textId="77777777" w:rsidR="004D1CE4" w:rsidRPr="0061276D" w:rsidRDefault="004D1CE4" w:rsidP="00DB2747">
            <w:pPr>
              <w:rPr>
                <w:rFonts w:asciiTheme="minorHAnsi" w:hAnsiTheme="minorHAnsi" w:cstheme="minorHAnsi"/>
                <w:color w:val="000000"/>
                <w:sz w:val="22"/>
                <w:szCs w:val="22"/>
              </w:rPr>
            </w:pPr>
          </w:p>
        </w:tc>
        <w:tc>
          <w:tcPr>
            <w:tcW w:w="4111" w:type="dxa"/>
            <w:noWrap/>
          </w:tcPr>
          <w:p w14:paraId="56AEAA14" w14:textId="77777777" w:rsidR="004D1CE4" w:rsidRPr="0009009F" w:rsidRDefault="004D1CE4" w:rsidP="00DB2747">
            <w:pPr>
              <w:rPr>
                <w:rFonts w:asciiTheme="minorHAnsi" w:hAnsiTheme="minorHAnsi" w:cstheme="minorHAnsi"/>
                <w:color w:val="000000"/>
                <w:sz w:val="22"/>
                <w:szCs w:val="22"/>
              </w:rPr>
            </w:pPr>
          </w:p>
        </w:tc>
        <w:tc>
          <w:tcPr>
            <w:tcW w:w="1554" w:type="dxa"/>
            <w:noWrap/>
          </w:tcPr>
          <w:p w14:paraId="05BFA599" w14:textId="373C9F74"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2.1.18</w:t>
            </w:r>
          </w:p>
        </w:tc>
        <w:tc>
          <w:tcPr>
            <w:tcW w:w="7513" w:type="dxa"/>
            <w:gridSpan w:val="2"/>
            <w:noWrap/>
          </w:tcPr>
          <w:p w14:paraId="24409A60" w14:textId="317EA548"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Therapieplanung</w:t>
            </w:r>
          </w:p>
        </w:tc>
      </w:tr>
      <w:tr w:rsidR="004D1CE4" w:rsidRPr="0009009F" w14:paraId="6097E3DB" w14:textId="77777777" w:rsidTr="005551AF">
        <w:trPr>
          <w:trHeight w:val="288"/>
        </w:trPr>
        <w:tc>
          <w:tcPr>
            <w:tcW w:w="562" w:type="dxa"/>
            <w:noWrap/>
            <w:hideMark/>
          </w:tcPr>
          <w:p w14:paraId="0D153785"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01FF9467" w14:textId="77777777" w:rsidR="004D1CE4" w:rsidRPr="0009009F" w:rsidRDefault="004D1CE4" w:rsidP="00DB2747">
            <w:pPr>
              <w:rPr>
                <w:rFonts w:asciiTheme="minorHAnsi" w:hAnsiTheme="minorHAnsi" w:cstheme="minorHAnsi"/>
                <w:color w:val="000000"/>
                <w:sz w:val="22"/>
                <w:szCs w:val="22"/>
              </w:rPr>
            </w:pPr>
          </w:p>
        </w:tc>
        <w:tc>
          <w:tcPr>
            <w:tcW w:w="1554" w:type="dxa"/>
            <w:noWrap/>
          </w:tcPr>
          <w:p w14:paraId="44ECF7E7" w14:textId="6A1C84C0"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2.1.19</w:t>
            </w:r>
          </w:p>
        </w:tc>
        <w:tc>
          <w:tcPr>
            <w:tcW w:w="7513" w:type="dxa"/>
            <w:gridSpan w:val="2"/>
            <w:noWrap/>
          </w:tcPr>
          <w:p w14:paraId="51EF3382" w14:textId="02602643" w:rsidR="004D1CE4" w:rsidRPr="0009009F"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Videosprechstunde</w:t>
            </w:r>
          </w:p>
        </w:tc>
      </w:tr>
      <w:tr w:rsidR="004D1CE4" w:rsidRPr="0009009F" w14:paraId="6A3F2AAF" w14:textId="77777777" w:rsidTr="005551AF">
        <w:trPr>
          <w:trHeight w:val="288"/>
        </w:trPr>
        <w:tc>
          <w:tcPr>
            <w:tcW w:w="562" w:type="dxa"/>
            <w:noWrap/>
            <w:hideMark/>
          </w:tcPr>
          <w:p w14:paraId="0C7C0742" w14:textId="77777777" w:rsidR="004D1CE4" w:rsidRPr="0009009F" w:rsidRDefault="004D1CE4" w:rsidP="00DB2747">
            <w:pPr>
              <w:rPr>
                <w:rFonts w:asciiTheme="minorHAnsi" w:hAnsiTheme="minorHAnsi" w:cstheme="minorHAnsi"/>
                <w:color w:val="000000"/>
                <w:sz w:val="22"/>
                <w:szCs w:val="22"/>
              </w:rPr>
            </w:pPr>
          </w:p>
        </w:tc>
        <w:tc>
          <w:tcPr>
            <w:tcW w:w="4111" w:type="dxa"/>
            <w:noWrap/>
            <w:hideMark/>
          </w:tcPr>
          <w:p w14:paraId="0D2F1D96" w14:textId="77777777" w:rsidR="004D1CE4" w:rsidRPr="0009009F" w:rsidRDefault="004D1CE4" w:rsidP="00DB2747">
            <w:pPr>
              <w:rPr>
                <w:rFonts w:asciiTheme="minorHAnsi" w:hAnsiTheme="minorHAnsi" w:cstheme="minorHAnsi"/>
                <w:color w:val="000000"/>
                <w:sz w:val="22"/>
                <w:szCs w:val="22"/>
              </w:rPr>
            </w:pPr>
          </w:p>
        </w:tc>
        <w:tc>
          <w:tcPr>
            <w:tcW w:w="1554" w:type="dxa"/>
            <w:noWrap/>
            <w:hideMark/>
          </w:tcPr>
          <w:p w14:paraId="638EB638" w14:textId="3DA88B24" w:rsidR="004D1CE4" w:rsidRPr="0009009F" w:rsidRDefault="004D1CE4" w:rsidP="00DB2747">
            <w:pPr>
              <w:rPr>
                <w:rFonts w:asciiTheme="minorHAnsi" w:hAnsiTheme="minorHAnsi" w:cstheme="minorHAnsi"/>
                <w:color w:val="000000"/>
                <w:sz w:val="22"/>
                <w:szCs w:val="22"/>
              </w:rPr>
            </w:pPr>
          </w:p>
        </w:tc>
        <w:tc>
          <w:tcPr>
            <w:tcW w:w="7513" w:type="dxa"/>
            <w:gridSpan w:val="2"/>
            <w:noWrap/>
            <w:hideMark/>
          </w:tcPr>
          <w:p w14:paraId="74F15B0E" w14:textId="05EEC3C5" w:rsidR="004D1CE4" w:rsidRPr="0009009F" w:rsidRDefault="004D1CE4" w:rsidP="0009009F">
            <w:pPr>
              <w:rPr>
                <w:rFonts w:asciiTheme="minorHAnsi" w:hAnsiTheme="minorHAnsi" w:cstheme="minorHAnsi"/>
                <w:color w:val="000000"/>
                <w:sz w:val="22"/>
                <w:szCs w:val="22"/>
              </w:rPr>
            </w:pPr>
          </w:p>
        </w:tc>
      </w:tr>
      <w:tr w:rsidR="004D1CE4" w:rsidRPr="0061276D" w14:paraId="5B1FCDE3" w14:textId="77777777" w:rsidTr="005551AF">
        <w:trPr>
          <w:trHeight w:val="288"/>
        </w:trPr>
        <w:tc>
          <w:tcPr>
            <w:tcW w:w="562" w:type="dxa"/>
            <w:noWrap/>
            <w:hideMark/>
          </w:tcPr>
          <w:p w14:paraId="14556C7F" w14:textId="1EC45977" w:rsidR="004D1CE4" w:rsidRPr="00DB2747" w:rsidRDefault="004D1CE4" w:rsidP="00DB2747">
            <w:pPr>
              <w:rPr>
                <w:rFonts w:asciiTheme="minorHAnsi" w:hAnsiTheme="minorHAnsi" w:cstheme="minorHAnsi"/>
                <w:sz w:val="22"/>
                <w:szCs w:val="22"/>
              </w:rPr>
            </w:pPr>
          </w:p>
        </w:tc>
        <w:tc>
          <w:tcPr>
            <w:tcW w:w="4111" w:type="dxa"/>
            <w:noWrap/>
            <w:hideMark/>
          </w:tcPr>
          <w:p w14:paraId="2C2FED59" w14:textId="6DA8EFB0" w:rsidR="004D1CE4" w:rsidRPr="00DB2747" w:rsidRDefault="004D1CE4" w:rsidP="00DB2747">
            <w:pPr>
              <w:rPr>
                <w:rFonts w:asciiTheme="minorHAnsi" w:hAnsiTheme="minorHAnsi" w:cstheme="minorHAnsi"/>
                <w:sz w:val="22"/>
                <w:szCs w:val="22"/>
              </w:rPr>
            </w:pPr>
          </w:p>
        </w:tc>
        <w:tc>
          <w:tcPr>
            <w:tcW w:w="1554" w:type="dxa"/>
            <w:noWrap/>
            <w:hideMark/>
          </w:tcPr>
          <w:p w14:paraId="45B1456D" w14:textId="05001B64" w:rsidR="004D1CE4" w:rsidRPr="00DB2747" w:rsidRDefault="004D1CE4" w:rsidP="00DB2747">
            <w:pPr>
              <w:rPr>
                <w:rFonts w:asciiTheme="minorHAnsi" w:hAnsiTheme="minorHAnsi" w:cstheme="minorHAnsi"/>
                <w:sz w:val="22"/>
                <w:szCs w:val="22"/>
              </w:rPr>
            </w:pPr>
          </w:p>
        </w:tc>
        <w:tc>
          <w:tcPr>
            <w:tcW w:w="7513" w:type="dxa"/>
            <w:gridSpan w:val="2"/>
            <w:noWrap/>
            <w:hideMark/>
          </w:tcPr>
          <w:p w14:paraId="3CC1351F" w14:textId="702786E5" w:rsidR="004D1CE4" w:rsidRPr="00DB2747" w:rsidRDefault="004D1CE4" w:rsidP="00DB2747">
            <w:pPr>
              <w:rPr>
                <w:rFonts w:asciiTheme="minorHAnsi" w:hAnsiTheme="minorHAnsi" w:cstheme="minorHAnsi"/>
                <w:sz w:val="22"/>
                <w:szCs w:val="22"/>
              </w:rPr>
            </w:pPr>
          </w:p>
        </w:tc>
      </w:tr>
      <w:tr w:rsidR="004D1CE4" w:rsidRPr="0061276D" w14:paraId="2E4665C1" w14:textId="77777777" w:rsidTr="005551AF">
        <w:trPr>
          <w:trHeight w:val="288"/>
        </w:trPr>
        <w:tc>
          <w:tcPr>
            <w:tcW w:w="562" w:type="dxa"/>
            <w:noWrap/>
            <w:hideMark/>
          </w:tcPr>
          <w:p w14:paraId="6E2A5F52" w14:textId="33D8FEF6"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w:t>
            </w:r>
          </w:p>
        </w:tc>
        <w:tc>
          <w:tcPr>
            <w:tcW w:w="4111" w:type="dxa"/>
            <w:noWrap/>
            <w:hideMark/>
          </w:tcPr>
          <w:p w14:paraId="6A97AF2B" w14:textId="26B9E528"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Berufsgruppen</w:t>
            </w:r>
          </w:p>
        </w:tc>
        <w:tc>
          <w:tcPr>
            <w:tcW w:w="1554" w:type="dxa"/>
            <w:noWrap/>
            <w:hideMark/>
          </w:tcPr>
          <w:p w14:paraId="5827F17E" w14:textId="4498F570"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2.2.1</w:t>
            </w:r>
          </w:p>
        </w:tc>
        <w:tc>
          <w:tcPr>
            <w:tcW w:w="7513" w:type="dxa"/>
            <w:gridSpan w:val="2"/>
            <w:noWrap/>
            <w:hideMark/>
          </w:tcPr>
          <w:p w14:paraId="0F6845B2" w14:textId="3B0CB596"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Apparative Diagnostik und Therapie</w:t>
            </w:r>
          </w:p>
        </w:tc>
      </w:tr>
      <w:tr w:rsidR="004D1CE4" w:rsidRPr="0061276D" w14:paraId="7D69698D" w14:textId="77777777" w:rsidTr="005551AF">
        <w:trPr>
          <w:trHeight w:val="288"/>
        </w:trPr>
        <w:tc>
          <w:tcPr>
            <w:tcW w:w="562" w:type="dxa"/>
            <w:noWrap/>
            <w:hideMark/>
          </w:tcPr>
          <w:p w14:paraId="5DBA5768" w14:textId="719F048B" w:rsidR="004D1CE4" w:rsidRPr="00DB2747" w:rsidRDefault="004D1CE4" w:rsidP="00DB2747">
            <w:pPr>
              <w:rPr>
                <w:rFonts w:asciiTheme="minorHAnsi" w:hAnsiTheme="minorHAnsi" w:cstheme="minorHAnsi"/>
                <w:sz w:val="22"/>
                <w:szCs w:val="22"/>
              </w:rPr>
            </w:pPr>
          </w:p>
        </w:tc>
        <w:tc>
          <w:tcPr>
            <w:tcW w:w="4111" w:type="dxa"/>
            <w:noWrap/>
            <w:hideMark/>
          </w:tcPr>
          <w:p w14:paraId="50B816C2" w14:textId="7C7E4C84" w:rsidR="004D1CE4" w:rsidRPr="00DB2747" w:rsidRDefault="004D1CE4" w:rsidP="00DB2747">
            <w:pPr>
              <w:rPr>
                <w:rFonts w:asciiTheme="minorHAnsi" w:hAnsiTheme="minorHAnsi" w:cstheme="minorHAnsi"/>
                <w:sz w:val="20"/>
                <w:szCs w:val="20"/>
              </w:rPr>
            </w:pPr>
          </w:p>
        </w:tc>
        <w:tc>
          <w:tcPr>
            <w:tcW w:w="1554" w:type="dxa"/>
            <w:noWrap/>
            <w:hideMark/>
          </w:tcPr>
          <w:p w14:paraId="414DF27C" w14:textId="0541A0A9"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2.2.2</w:t>
            </w:r>
          </w:p>
        </w:tc>
        <w:tc>
          <w:tcPr>
            <w:tcW w:w="7513" w:type="dxa"/>
            <w:gridSpan w:val="2"/>
            <w:noWrap/>
            <w:hideMark/>
          </w:tcPr>
          <w:p w14:paraId="665C4900" w14:textId="11779FF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MFA</w:t>
            </w:r>
          </w:p>
        </w:tc>
      </w:tr>
      <w:tr w:rsidR="004D1CE4" w:rsidRPr="0061276D" w14:paraId="5B1C55DF" w14:textId="77777777" w:rsidTr="005551AF">
        <w:trPr>
          <w:trHeight w:val="288"/>
        </w:trPr>
        <w:tc>
          <w:tcPr>
            <w:tcW w:w="562" w:type="dxa"/>
            <w:noWrap/>
            <w:hideMark/>
          </w:tcPr>
          <w:p w14:paraId="50033D48" w14:textId="77777777" w:rsidR="004D1CE4" w:rsidRPr="00DB2747" w:rsidRDefault="004D1CE4" w:rsidP="00DB2747">
            <w:pPr>
              <w:rPr>
                <w:rFonts w:asciiTheme="minorHAnsi" w:hAnsiTheme="minorHAnsi" w:cstheme="minorHAnsi"/>
                <w:sz w:val="22"/>
                <w:szCs w:val="22"/>
              </w:rPr>
            </w:pPr>
          </w:p>
        </w:tc>
        <w:tc>
          <w:tcPr>
            <w:tcW w:w="4111" w:type="dxa"/>
            <w:noWrap/>
            <w:hideMark/>
          </w:tcPr>
          <w:p w14:paraId="2752E520" w14:textId="77777777" w:rsidR="004D1CE4" w:rsidRPr="00DB2747" w:rsidRDefault="004D1CE4" w:rsidP="00DB2747">
            <w:pPr>
              <w:rPr>
                <w:rFonts w:asciiTheme="minorHAnsi" w:hAnsiTheme="minorHAnsi" w:cstheme="minorHAnsi"/>
                <w:sz w:val="20"/>
                <w:szCs w:val="20"/>
              </w:rPr>
            </w:pPr>
          </w:p>
        </w:tc>
        <w:tc>
          <w:tcPr>
            <w:tcW w:w="1554" w:type="dxa"/>
            <w:noWrap/>
            <w:hideMark/>
          </w:tcPr>
          <w:p w14:paraId="322CBAAB" w14:textId="74C836C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2.2.3</w:t>
            </w:r>
          </w:p>
        </w:tc>
        <w:tc>
          <w:tcPr>
            <w:tcW w:w="7513" w:type="dxa"/>
            <w:gridSpan w:val="2"/>
            <w:noWrap/>
            <w:hideMark/>
          </w:tcPr>
          <w:p w14:paraId="7901F4E1" w14:textId="25BE66D7"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Berufsgruppen Zuordnung</w:t>
            </w:r>
          </w:p>
        </w:tc>
      </w:tr>
      <w:tr w:rsidR="004D1CE4" w:rsidRPr="0061276D" w14:paraId="5DD6926F" w14:textId="77777777" w:rsidTr="005551AF">
        <w:trPr>
          <w:trHeight w:val="288"/>
        </w:trPr>
        <w:tc>
          <w:tcPr>
            <w:tcW w:w="562" w:type="dxa"/>
            <w:noWrap/>
            <w:hideMark/>
          </w:tcPr>
          <w:p w14:paraId="691728D8" w14:textId="77777777" w:rsidR="004D1CE4" w:rsidRPr="00DB2747" w:rsidRDefault="004D1CE4" w:rsidP="00DB2747">
            <w:pPr>
              <w:rPr>
                <w:rFonts w:asciiTheme="minorHAnsi" w:hAnsiTheme="minorHAnsi" w:cstheme="minorHAnsi"/>
                <w:sz w:val="22"/>
                <w:szCs w:val="22"/>
              </w:rPr>
            </w:pPr>
          </w:p>
        </w:tc>
        <w:tc>
          <w:tcPr>
            <w:tcW w:w="4111" w:type="dxa"/>
            <w:noWrap/>
            <w:hideMark/>
          </w:tcPr>
          <w:p w14:paraId="3886E8B2" w14:textId="77777777" w:rsidR="004D1CE4" w:rsidRPr="00DB2747" w:rsidRDefault="004D1CE4" w:rsidP="00DB2747">
            <w:pPr>
              <w:rPr>
                <w:rFonts w:asciiTheme="minorHAnsi" w:hAnsiTheme="minorHAnsi" w:cstheme="minorHAnsi"/>
                <w:sz w:val="20"/>
                <w:szCs w:val="20"/>
              </w:rPr>
            </w:pPr>
          </w:p>
        </w:tc>
        <w:tc>
          <w:tcPr>
            <w:tcW w:w="1554" w:type="dxa"/>
            <w:noWrap/>
            <w:hideMark/>
          </w:tcPr>
          <w:p w14:paraId="2A99C2AB" w14:textId="7695131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2.2.4</w:t>
            </w:r>
          </w:p>
        </w:tc>
        <w:tc>
          <w:tcPr>
            <w:tcW w:w="7513" w:type="dxa"/>
            <w:gridSpan w:val="2"/>
            <w:noWrap/>
            <w:hideMark/>
          </w:tcPr>
          <w:p w14:paraId="67CDD0F7" w14:textId="3DE8B1C3"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Dolmetscher</w:t>
            </w:r>
          </w:p>
        </w:tc>
      </w:tr>
      <w:tr w:rsidR="004D1CE4" w:rsidRPr="00DB2747" w14:paraId="651B3323" w14:textId="77777777" w:rsidTr="005551AF">
        <w:trPr>
          <w:trHeight w:val="288"/>
        </w:trPr>
        <w:tc>
          <w:tcPr>
            <w:tcW w:w="562" w:type="dxa"/>
            <w:noWrap/>
            <w:hideMark/>
          </w:tcPr>
          <w:p w14:paraId="0BBC8C16" w14:textId="77777777" w:rsidR="004D1CE4" w:rsidRPr="00DB2747" w:rsidRDefault="004D1CE4" w:rsidP="00DB2747">
            <w:pPr>
              <w:rPr>
                <w:rFonts w:asciiTheme="minorHAnsi" w:hAnsiTheme="minorHAnsi" w:cstheme="minorHAnsi"/>
                <w:sz w:val="22"/>
                <w:szCs w:val="22"/>
              </w:rPr>
            </w:pPr>
          </w:p>
        </w:tc>
        <w:tc>
          <w:tcPr>
            <w:tcW w:w="4111" w:type="dxa"/>
            <w:noWrap/>
            <w:hideMark/>
          </w:tcPr>
          <w:p w14:paraId="5B56E0B6" w14:textId="77777777" w:rsidR="004D1CE4" w:rsidRPr="00DB2747" w:rsidRDefault="004D1CE4" w:rsidP="00DB2747">
            <w:pPr>
              <w:rPr>
                <w:rFonts w:asciiTheme="minorHAnsi" w:hAnsiTheme="minorHAnsi" w:cstheme="minorHAnsi"/>
                <w:sz w:val="22"/>
                <w:szCs w:val="22"/>
              </w:rPr>
            </w:pPr>
          </w:p>
        </w:tc>
        <w:tc>
          <w:tcPr>
            <w:tcW w:w="1554" w:type="dxa"/>
            <w:noWrap/>
            <w:hideMark/>
          </w:tcPr>
          <w:p w14:paraId="2EF79337" w14:textId="2A53AC3A"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2.2.5</w:t>
            </w:r>
          </w:p>
        </w:tc>
        <w:tc>
          <w:tcPr>
            <w:tcW w:w="7513" w:type="dxa"/>
            <w:gridSpan w:val="2"/>
            <w:noWrap/>
            <w:hideMark/>
          </w:tcPr>
          <w:p w14:paraId="6AD76A70" w14:textId="756D0105"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Nichtärztliche Leistungen</w:t>
            </w:r>
          </w:p>
        </w:tc>
      </w:tr>
      <w:tr w:rsidR="004D1CE4" w:rsidRPr="00DB2747" w14:paraId="34388F7B" w14:textId="77777777" w:rsidTr="005551AF">
        <w:trPr>
          <w:trHeight w:val="288"/>
        </w:trPr>
        <w:tc>
          <w:tcPr>
            <w:tcW w:w="562" w:type="dxa"/>
            <w:noWrap/>
            <w:hideMark/>
          </w:tcPr>
          <w:p w14:paraId="5F85A7A5" w14:textId="77777777" w:rsidR="004D1CE4" w:rsidRPr="00DB2747" w:rsidRDefault="004D1CE4" w:rsidP="00DB2747">
            <w:pPr>
              <w:rPr>
                <w:rFonts w:asciiTheme="minorHAnsi" w:hAnsiTheme="minorHAnsi" w:cstheme="minorHAnsi"/>
                <w:sz w:val="22"/>
                <w:szCs w:val="22"/>
              </w:rPr>
            </w:pPr>
          </w:p>
        </w:tc>
        <w:tc>
          <w:tcPr>
            <w:tcW w:w="4111" w:type="dxa"/>
            <w:noWrap/>
            <w:hideMark/>
          </w:tcPr>
          <w:p w14:paraId="257D4E4B" w14:textId="77777777" w:rsidR="004D1CE4" w:rsidRPr="00DB2747" w:rsidRDefault="004D1CE4" w:rsidP="00DB2747">
            <w:pPr>
              <w:rPr>
                <w:rFonts w:asciiTheme="minorHAnsi" w:hAnsiTheme="minorHAnsi" w:cstheme="minorHAnsi"/>
                <w:sz w:val="22"/>
                <w:szCs w:val="22"/>
              </w:rPr>
            </w:pPr>
          </w:p>
        </w:tc>
        <w:tc>
          <w:tcPr>
            <w:tcW w:w="1554" w:type="dxa"/>
            <w:noWrap/>
            <w:hideMark/>
          </w:tcPr>
          <w:p w14:paraId="5331558F" w14:textId="6194E087"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2.2.6</w:t>
            </w:r>
          </w:p>
        </w:tc>
        <w:tc>
          <w:tcPr>
            <w:tcW w:w="7513" w:type="dxa"/>
            <w:gridSpan w:val="2"/>
            <w:noWrap/>
            <w:hideMark/>
          </w:tcPr>
          <w:p w14:paraId="26AC1F46" w14:textId="0B319CF1"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Personen im Praktikum</w:t>
            </w:r>
          </w:p>
        </w:tc>
      </w:tr>
      <w:tr w:rsidR="004D1CE4" w:rsidRPr="00DB2747" w14:paraId="2C6FAC2D" w14:textId="77777777" w:rsidTr="005551AF">
        <w:trPr>
          <w:trHeight w:val="288"/>
        </w:trPr>
        <w:tc>
          <w:tcPr>
            <w:tcW w:w="562" w:type="dxa"/>
            <w:noWrap/>
            <w:hideMark/>
          </w:tcPr>
          <w:p w14:paraId="2C2B62F2" w14:textId="77777777" w:rsidR="004D1CE4" w:rsidRPr="00DB2747" w:rsidRDefault="004D1CE4" w:rsidP="00DB2747">
            <w:pPr>
              <w:rPr>
                <w:rFonts w:asciiTheme="minorHAnsi" w:hAnsiTheme="minorHAnsi" w:cstheme="minorHAnsi"/>
                <w:sz w:val="22"/>
                <w:szCs w:val="22"/>
              </w:rPr>
            </w:pPr>
          </w:p>
        </w:tc>
        <w:tc>
          <w:tcPr>
            <w:tcW w:w="4111" w:type="dxa"/>
            <w:noWrap/>
            <w:hideMark/>
          </w:tcPr>
          <w:p w14:paraId="177FB283" w14:textId="77777777" w:rsidR="004D1CE4" w:rsidRPr="00DB2747" w:rsidRDefault="004D1CE4" w:rsidP="00DB2747">
            <w:pPr>
              <w:rPr>
                <w:rFonts w:asciiTheme="minorHAnsi" w:hAnsiTheme="minorHAnsi" w:cstheme="minorHAnsi"/>
                <w:sz w:val="22"/>
                <w:szCs w:val="22"/>
              </w:rPr>
            </w:pPr>
          </w:p>
        </w:tc>
        <w:tc>
          <w:tcPr>
            <w:tcW w:w="1554" w:type="dxa"/>
            <w:noWrap/>
            <w:hideMark/>
          </w:tcPr>
          <w:p w14:paraId="18F001D7" w14:textId="0B78E9FE" w:rsidR="004D1CE4" w:rsidRPr="0061276D"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2.2.7</w:t>
            </w:r>
          </w:p>
        </w:tc>
        <w:tc>
          <w:tcPr>
            <w:tcW w:w="7513" w:type="dxa"/>
            <w:gridSpan w:val="2"/>
            <w:noWrap/>
            <w:hideMark/>
          </w:tcPr>
          <w:p w14:paraId="4A835C10" w14:textId="20D6F290" w:rsidR="004D1CE4" w:rsidRPr="0061276D"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Verwaltungstätigkeiten</w:t>
            </w:r>
          </w:p>
        </w:tc>
      </w:tr>
      <w:tr w:rsidR="004D1CE4" w:rsidRPr="00DB2747" w14:paraId="101A56F5" w14:textId="77777777" w:rsidTr="005551AF">
        <w:trPr>
          <w:trHeight w:val="288"/>
        </w:trPr>
        <w:tc>
          <w:tcPr>
            <w:tcW w:w="562" w:type="dxa"/>
            <w:noWrap/>
            <w:hideMark/>
          </w:tcPr>
          <w:p w14:paraId="532D166F" w14:textId="77777777" w:rsidR="004D1CE4" w:rsidRPr="00DB2747" w:rsidRDefault="004D1CE4" w:rsidP="00DB2747">
            <w:pPr>
              <w:rPr>
                <w:rFonts w:asciiTheme="minorHAnsi" w:hAnsiTheme="minorHAnsi" w:cstheme="minorHAnsi"/>
                <w:sz w:val="22"/>
                <w:szCs w:val="22"/>
              </w:rPr>
            </w:pPr>
          </w:p>
        </w:tc>
        <w:tc>
          <w:tcPr>
            <w:tcW w:w="4111" w:type="dxa"/>
            <w:noWrap/>
            <w:hideMark/>
          </w:tcPr>
          <w:p w14:paraId="03C2833C" w14:textId="77777777" w:rsidR="004D1CE4" w:rsidRPr="00DB2747" w:rsidRDefault="004D1CE4" w:rsidP="00DB2747">
            <w:pPr>
              <w:rPr>
                <w:rFonts w:asciiTheme="minorHAnsi" w:hAnsiTheme="minorHAnsi" w:cstheme="minorHAnsi"/>
                <w:sz w:val="22"/>
                <w:szCs w:val="22"/>
              </w:rPr>
            </w:pPr>
          </w:p>
        </w:tc>
        <w:tc>
          <w:tcPr>
            <w:tcW w:w="1554" w:type="dxa"/>
            <w:noWrap/>
            <w:hideMark/>
          </w:tcPr>
          <w:p w14:paraId="58313F48" w14:textId="19AFE958" w:rsidR="004D1CE4" w:rsidRPr="00DB2747" w:rsidRDefault="004D1CE4" w:rsidP="00DB2747">
            <w:pPr>
              <w:rPr>
                <w:rFonts w:asciiTheme="minorHAnsi" w:hAnsiTheme="minorHAnsi" w:cstheme="minorHAnsi"/>
                <w:sz w:val="22"/>
                <w:szCs w:val="22"/>
              </w:rPr>
            </w:pPr>
            <w:r w:rsidRPr="0061276D">
              <w:rPr>
                <w:rFonts w:asciiTheme="minorHAnsi" w:hAnsiTheme="minorHAnsi" w:cstheme="minorHAnsi"/>
                <w:sz w:val="22"/>
                <w:szCs w:val="22"/>
              </w:rPr>
              <w:t>2.2.10</w:t>
            </w:r>
          </w:p>
        </w:tc>
        <w:tc>
          <w:tcPr>
            <w:tcW w:w="7513" w:type="dxa"/>
            <w:gridSpan w:val="2"/>
            <w:noWrap/>
            <w:hideMark/>
          </w:tcPr>
          <w:p w14:paraId="7455869E" w14:textId="2D9C409A" w:rsidR="004D1CE4" w:rsidRPr="00DB2747" w:rsidRDefault="004D1CE4" w:rsidP="00DB2747">
            <w:pPr>
              <w:rPr>
                <w:rFonts w:asciiTheme="minorHAnsi" w:hAnsiTheme="minorHAnsi" w:cstheme="minorHAnsi"/>
                <w:sz w:val="22"/>
                <w:szCs w:val="22"/>
              </w:rPr>
            </w:pPr>
            <w:r w:rsidRPr="0061276D">
              <w:rPr>
                <w:rFonts w:asciiTheme="minorHAnsi" w:hAnsiTheme="minorHAnsi" w:cstheme="minorHAnsi"/>
                <w:sz w:val="22"/>
                <w:szCs w:val="22"/>
              </w:rPr>
              <w:t>Heilerziehungspfleger</w:t>
            </w:r>
          </w:p>
        </w:tc>
      </w:tr>
      <w:tr w:rsidR="004D1CE4" w:rsidRPr="00DB2747" w14:paraId="7B907DBE" w14:textId="77777777" w:rsidTr="005551AF">
        <w:trPr>
          <w:trHeight w:val="288"/>
        </w:trPr>
        <w:tc>
          <w:tcPr>
            <w:tcW w:w="562" w:type="dxa"/>
            <w:noWrap/>
            <w:hideMark/>
          </w:tcPr>
          <w:p w14:paraId="5D86BCB5" w14:textId="1154B9F6" w:rsidR="004D1CE4" w:rsidRPr="00DB2747" w:rsidRDefault="004D1CE4" w:rsidP="00DB2747">
            <w:pPr>
              <w:rPr>
                <w:rFonts w:asciiTheme="minorHAnsi" w:hAnsiTheme="minorHAnsi" w:cstheme="minorHAnsi"/>
                <w:sz w:val="22"/>
                <w:szCs w:val="22"/>
              </w:rPr>
            </w:pPr>
          </w:p>
        </w:tc>
        <w:tc>
          <w:tcPr>
            <w:tcW w:w="4111" w:type="dxa"/>
            <w:noWrap/>
            <w:hideMark/>
          </w:tcPr>
          <w:p w14:paraId="15026571" w14:textId="7A6EDCFE" w:rsidR="004D1CE4" w:rsidRPr="00DB2747" w:rsidRDefault="004D1CE4" w:rsidP="00DB2747">
            <w:pPr>
              <w:rPr>
                <w:rFonts w:asciiTheme="minorHAnsi" w:hAnsiTheme="minorHAnsi" w:cstheme="minorHAnsi"/>
                <w:sz w:val="22"/>
                <w:szCs w:val="22"/>
              </w:rPr>
            </w:pPr>
          </w:p>
        </w:tc>
        <w:tc>
          <w:tcPr>
            <w:tcW w:w="1554" w:type="dxa"/>
            <w:noWrap/>
          </w:tcPr>
          <w:p w14:paraId="17FA52EE" w14:textId="5E672C22" w:rsidR="004D1CE4" w:rsidRPr="00DB2747" w:rsidRDefault="004D1CE4" w:rsidP="00DB2747">
            <w:pPr>
              <w:rPr>
                <w:rFonts w:asciiTheme="minorHAnsi" w:hAnsiTheme="minorHAnsi" w:cstheme="minorHAnsi"/>
                <w:sz w:val="22"/>
                <w:szCs w:val="22"/>
              </w:rPr>
            </w:pPr>
          </w:p>
        </w:tc>
        <w:tc>
          <w:tcPr>
            <w:tcW w:w="7513" w:type="dxa"/>
            <w:gridSpan w:val="2"/>
            <w:noWrap/>
          </w:tcPr>
          <w:p w14:paraId="794C34BF" w14:textId="37150C8A" w:rsidR="004D1CE4" w:rsidRPr="00DB2747" w:rsidRDefault="004D1CE4" w:rsidP="00DB2747">
            <w:pPr>
              <w:rPr>
                <w:rFonts w:asciiTheme="minorHAnsi" w:hAnsiTheme="minorHAnsi" w:cstheme="minorHAnsi"/>
                <w:sz w:val="22"/>
                <w:szCs w:val="22"/>
              </w:rPr>
            </w:pPr>
          </w:p>
        </w:tc>
      </w:tr>
      <w:tr w:rsidR="004D1CE4" w:rsidRPr="00DB2747" w14:paraId="1375DA90" w14:textId="77777777" w:rsidTr="005551AF">
        <w:trPr>
          <w:trHeight w:val="288"/>
        </w:trPr>
        <w:tc>
          <w:tcPr>
            <w:tcW w:w="562" w:type="dxa"/>
            <w:noWrap/>
            <w:hideMark/>
          </w:tcPr>
          <w:p w14:paraId="7134D3B0" w14:textId="3D8ECB19"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w:t>
            </w:r>
          </w:p>
        </w:tc>
        <w:tc>
          <w:tcPr>
            <w:tcW w:w="4111" w:type="dxa"/>
            <w:noWrap/>
            <w:hideMark/>
          </w:tcPr>
          <w:p w14:paraId="12A9F5E9" w14:textId="2A124411"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Mehrere Leistungserbringer</w:t>
            </w:r>
          </w:p>
        </w:tc>
        <w:tc>
          <w:tcPr>
            <w:tcW w:w="1554" w:type="dxa"/>
            <w:noWrap/>
          </w:tcPr>
          <w:p w14:paraId="1D4B9F93" w14:textId="19CA0CAE"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2.3.2</w:t>
            </w:r>
          </w:p>
        </w:tc>
        <w:tc>
          <w:tcPr>
            <w:tcW w:w="7513" w:type="dxa"/>
            <w:gridSpan w:val="2"/>
            <w:noWrap/>
          </w:tcPr>
          <w:p w14:paraId="79357928" w14:textId="7755342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Fallbesprechungen</w:t>
            </w:r>
          </w:p>
        </w:tc>
      </w:tr>
      <w:tr w:rsidR="004D1CE4" w:rsidRPr="00DB2747" w14:paraId="66C090BA" w14:textId="77777777" w:rsidTr="005551AF">
        <w:trPr>
          <w:trHeight w:val="288"/>
        </w:trPr>
        <w:tc>
          <w:tcPr>
            <w:tcW w:w="562" w:type="dxa"/>
            <w:noWrap/>
            <w:hideMark/>
          </w:tcPr>
          <w:p w14:paraId="2B4E7080" w14:textId="1ABE4D7B" w:rsidR="004D1CE4" w:rsidRPr="00DB2747" w:rsidRDefault="004D1CE4" w:rsidP="00DB2747">
            <w:pPr>
              <w:rPr>
                <w:rFonts w:asciiTheme="minorHAnsi" w:hAnsiTheme="minorHAnsi" w:cstheme="minorHAnsi"/>
                <w:sz w:val="22"/>
                <w:szCs w:val="22"/>
              </w:rPr>
            </w:pPr>
          </w:p>
        </w:tc>
        <w:tc>
          <w:tcPr>
            <w:tcW w:w="4111" w:type="dxa"/>
            <w:noWrap/>
            <w:hideMark/>
          </w:tcPr>
          <w:p w14:paraId="7B3E9C16" w14:textId="11AF19AA" w:rsidR="004D1CE4" w:rsidRPr="00DB2747" w:rsidRDefault="004D1CE4" w:rsidP="00DB2747">
            <w:pPr>
              <w:rPr>
                <w:rFonts w:asciiTheme="minorHAnsi" w:hAnsiTheme="minorHAnsi" w:cstheme="minorHAnsi"/>
                <w:sz w:val="22"/>
                <w:szCs w:val="22"/>
              </w:rPr>
            </w:pPr>
          </w:p>
        </w:tc>
        <w:tc>
          <w:tcPr>
            <w:tcW w:w="1554" w:type="dxa"/>
            <w:noWrap/>
          </w:tcPr>
          <w:p w14:paraId="2BF70409" w14:textId="7274DF40"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2.3.3</w:t>
            </w:r>
          </w:p>
        </w:tc>
        <w:tc>
          <w:tcPr>
            <w:tcW w:w="7513" w:type="dxa"/>
            <w:gridSpan w:val="2"/>
            <w:noWrap/>
          </w:tcPr>
          <w:p w14:paraId="3E62937A" w14:textId="514626CA"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Mehrere Leistungserbringer/Dokumentation</w:t>
            </w:r>
          </w:p>
        </w:tc>
      </w:tr>
      <w:tr w:rsidR="004D1CE4" w:rsidRPr="00DB2747" w14:paraId="158B7184" w14:textId="77777777" w:rsidTr="005551AF">
        <w:trPr>
          <w:trHeight w:val="288"/>
        </w:trPr>
        <w:tc>
          <w:tcPr>
            <w:tcW w:w="562" w:type="dxa"/>
            <w:noWrap/>
            <w:hideMark/>
          </w:tcPr>
          <w:p w14:paraId="047D0E82" w14:textId="77777777" w:rsidR="004D1CE4" w:rsidRPr="00DB2747" w:rsidRDefault="004D1CE4" w:rsidP="00DB2747">
            <w:pPr>
              <w:rPr>
                <w:rFonts w:asciiTheme="minorHAnsi" w:hAnsiTheme="minorHAnsi" w:cstheme="minorHAnsi"/>
                <w:sz w:val="22"/>
                <w:szCs w:val="22"/>
              </w:rPr>
            </w:pPr>
          </w:p>
        </w:tc>
        <w:tc>
          <w:tcPr>
            <w:tcW w:w="4111" w:type="dxa"/>
            <w:noWrap/>
            <w:hideMark/>
          </w:tcPr>
          <w:p w14:paraId="4CA24A06" w14:textId="77777777" w:rsidR="004D1CE4" w:rsidRPr="00DB2747" w:rsidRDefault="004D1CE4" w:rsidP="00DB2747">
            <w:pPr>
              <w:rPr>
                <w:rFonts w:asciiTheme="minorHAnsi" w:hAnsiTheme="minorHAnsi" w:cstheme="minorHAnsi"/>
                <w:sz w:val="22"/>
                <w:szCs w:val="22"/>
              </w:rPr>
            </w:pPr>
          </w:p>
        </w:tc>
        <w:tc>
          <w:tcPr>
            <w:tcW w:w="1554" w:type="dxa"/>
            <w:noWrap/>
          </w:tcPr>
          <w:p w14:paraId="08FE95E2" w14:textId="56ABFC29"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2.3.4</w:t>
            </w:r>
          </w:p>
        </w:tc>
        <w:tc>
          <w:tcPr>
            <w:tcW w:w="7513" w:type="dxa"/>
            <w:gridSpan w:val="2"/>
            <w:noWrap/>
          </w:tcPr>
          <w:p w14:paraId="29C8C071" w14:textId="4D147D41"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Parallele Behandlung aufsuchend durch zwei Berufsgruppen*</w:t>
            </w:r>
          </w:p>
        </w:tc>
      </w:tr>
      <w:tr w:rsidR="004D1CE4" w:rsidRPr="0061276D" w14:paraId="7A679545" w14:textId="77777777" w:rsidTr="005551AF">
        <w:trPr>
          <w:trHeight w:val="288"/>
        </w:trPr>
        <w:tc>
          <w:tcPr>
            <w:tcW w:w="562" w:type="dxa"/>
            <w:noWrap/>
            <w:hideMark/>
          </w:tcPr>
          <w:p w14:paraId="218E8CDA"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74BE4E00" w14:textId="77777777" w:rsidR="004D1CE4" w:rsidRPr="00DB2747" w:rsidRDefault="004D1CE4" w:rsidP="00DB2747">
            <w:pPr>
              <w:rPr>
                <w:rFonts w:asciiTheme="minorHAnsi" w:hAnsiTheme="minorHAnsi" w:cstheme="minorHAnsi"/>
                <w:sz w:val="20"/>
                <w:szCs w:val="20"/>
              </w:rPr>
            </w:pPr>
          </w:p>
        </w:tc>
        <w:tc>
          <w:tcPr>
            <w:tcW w:w="1554" w:type="dxa"/>
            <w:noWrap/>
          </w:tcPr>
          <w:p w14:paraId="43C348CA" w14:textId="3392658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2.3.5</w:t>
            </w:r>
          </w:p>
        </w:tc>
        <w:tc>
          <w:tcPr>
            <w:tcW w:w="7513" w:type="dxa"/>
            <w:gridSpan w:val="2"/>
            <w:noWrap/>
          </w:tcPr>
          <w:p w14:paraId="35CC51B6" w14:textId="50BAF216"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Verlaufsbesprechung</w:t>
            </w:r>
          </w:p>
        </w:tc>
      </w:tr>
      <w:tr w:rsidR="004D1CE4" w:rsidRPr="0061276D" w14:paraId="1310D4BB" w14:textId="77777777" w:rsidTr="005551AF">
        <w:trPr>
          <w:trHeight w:val="288"/>
        </w:trPr>
        <w:tc>
          <w:tcPr>
            <w:tcW w:w="562" w:type="dxa"/>
            <w:noWrap/>
            <w:hideMark/>
          </w:tcPr>
          <w:p w14:paraId="21AC54E4" w14:textId="238AA90A" w:rsidR="004D1CE4" w:rsidRPr="0061276D" w:rsidRDefault="004D1CE4" w:rsidP="00DB2747">
            <w:pPr>
              <w:rPr>
                <w:rFonts w:asciiTheme="minorHAnsi" w:hAnsiTheme="minorHAnsi" w:cstheme="minorHAnsi"/>
                <w:color w:val="000000"/>
                <w:sz w:val="22"/>
                <w:szCs w:val="22"/>
              </w:rPr>
            </w:pPr>
          </w:p>
        </w:tc>
        <w:tc>
          <w:tcPr>
            <w:tcW w:w="4111" w:type="dxa"/>
            <w:noWrap/>
            <w:hideMark/>
          </w:tcPr>
          <w:p w14:paraId="6B416D3E" w14:textId="1983B509" w:rsidR="004D1CE4" w:rsidRPr="00DB2747" w:rsidRDefault="004D1CE4" w:rsidP="00DB2747">
            <w:pPr>
              <w:rPr>
                <w:rFonts w:asciiTheme="minorHAnsi" w:hAnsiTheme="minorHAnsi" w:cstheme="minorHAnsi"/>
                <w:sz w:val="22"/>
                <w:szCs w:val="22"/>
              </w:rPr>
            </w:pPr>
          </w:p>
        </w:tc>
        <w:tc>
          <w:tcPr>
            <w:tcW w:w="1554" w:type="dxa"/>
            <w:noWrap/>
            <w:hideMark/>
          </w:tcPr>
          <w:p w14:paraId="4808C920" w14:textId="2EE617DA" w:rsidR="004D1CE4" w:rsidRPr="00DB2747" w:rsidRDefault="004D1CE4" w:rsidP="00DB2747">
            <w:pPr>
              <w:rPr>
                <w:rFonts w:asciiTheme="minorHAnsi" w:hAnsiTheme="minorHAnsi" w:cstheme="minorHAnsi"/>
                <w:sz w:val="22"/>
                <w:szCs w:val="22"/>
              </w:rPr>
            </w:pPr>
          </w:p>
        </w:tc>
        <w:tc>
          <w:tcPr>
            <w:tcW w:w="7513" w:type="dxa"/>
            <w:gridSpan w:val="2"/>
            <w:noWrap/>
            <w:hideMark/>
          </w:tcPr>
          <w:p w14:paraId="1418B628" w14:textId="4C2DC236" w:rsidR="004D1CE4" w:rsidRPr="00DB2747" w:rsidRDefault="004D1CE4" w:rsidP="00DB2747">
            <w:pPr>
              <w:rPr>
                <w:rFonts w:asciiTheme="minorHAnsi" w:hAnsiTheme="minorHAnsi" w:cstheme="minorHAnsi"/>
                <w:sz w:val="22"/>
                <w:szCs w:val="22"/>
              </w:rPr>
            </w:pPr>
          </w:p>
        </w:tc>
      </w:tr>
      <w:tr w:rsidR="004D1CE4" w:rsidRPr="0061276D" w14:paraId="113475F7" w14:textId="77777777" w:rsidTr="005551AF">
        <w:trPr>
          <w:trHeight w:val="288"/>
        </w:trPr>
        <w:tc>
          <w:tcPr>
            <w:tcW w:w="562" w:type="dxa"/>
            <w:noWrap/>
            <w:hideMark/>
          </w:tcPr>
          <w:p w14:paraId="07BDC641" w14:textId="12807E6B"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2.4</w:t>
            </w:r>
          </w:p>
        </w:tc>
        <w:tc>
          <w:tcPr>
            <w:tcW w:w="4111" w:type="dxa"/>
            <w:noWrap/>
            <w:hideMark/>
          </w:tcPr>
          <w:p w14:paraId="166B678F" w14:textId="667E7874"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Gruppenbehandlungen</w:t>
            </w:r>
          </w:p>
        </w:tc>
        <w:tc>
          <w:tcPr>
            <w:tcW w:w="1554" w:type="dxa"/>
            <w:noWrap/>
          </w:tcPr>
          <w:p w14:paraId="3170986A" w14:textId="1CDFF31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2.4.1</w:t>
            </w:r>
          </w:p>
        </w:tc>
        <w:tc>
          <w:tcPr>
            <w:tcW w:w="7513" w:type="dxa"/>
            <w:gridSpan w:val="2"/>
            <w:noWrap/>
          </w:tcPr>
          <w:p w14:paraId="4793EE94" w14:textId="567D002F"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Betreuung einer Großgruppe</w:t>
            </w:r>
          </w:p>
        </w:tc>
      </w:tr>
      <w:tr w:rsidR="004D1CE4" w:rsidRPr="0061276D" w14:paraId="38CD690B" w14:textId="77777777" w:rsidTr="005551AF">
        <w:trPr>
          <w:trHeight w:val="288"/>
        </w:trPr>
        <w:tc>
          <w:tcPr>
            <w:tcW w:w="562" w:type="dxa"/>
            <w:noWrap/>
            <w:hideMark/>
          </w:tcPr>
          <w:p w14:paraId="249E422C" w14:textId="147CF494" w:rsidR="004D1CE4" w:rsidRPr="00DB2747" w:rsidRDefault="004D1CE4" w:rsidP="00DB2747">
            <w:pPr>
              <w:rPr>
                <w:rFonts w:asciiTheme="minorHAnsi" w:hAnsiTheme="minorHAnsi" w:cstheme="minorHAnsi"/>
                <w:sz w:val="22"/>
                <w:szCs w:val="22"/>
              </w:rPr>
            </w:pPr>
          </w:p>
        </w:tc>
        <w:tc>
          <w:tcPr>
            <w:tcW w:w="4111" w:type="dxa"/>
            <w:noWrap/>
            <w:hideMark/>
          </w:tcPr>
          <w:p w14:paraId="665D69B9" w14:textId="18BF7BA7" w:rsidR="004D1CE4" w:rsidRPr="00DB2747" w:rsidRDefault="004D1CE4" w:rsidP="00DB2747">
            <w:pPr>
              <w:rPr>
                <w:rFonts w:asciiTheme="minorHAnsi" w:hAnsiTheme="minorHAnsi" w:cstheme="minorHAnsi"/>
                <w:sz w:val="20"/>
                <w:szCs w:val="20"/>
              </w:rPr>
            </w:pPr>
          </w:p>
        </w:tc>
        <w:tc>
          <w:tcPr>
            <w:tcW w:w="1554" w:type="dxa"/>
            <w:noWrap/>
          </w:tcPr>
          <w:p w14:paraId="28ADD2F2" w14:textId="259FFE8D"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2.4.3</w:t>
            </w:r>
          </w:p>
        </w:tc>
        <w:tc>
          <w:tcPr>
            <w:tcW w:w="7513" w:type="dxa"/>
            <w:gridSpan w:val="2"/>
            <w:noWrap/>
          </w:tcPr>
          <w:p w14:paraId="2F82679B" w14:textId="29A05916"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Gruppenleistungen/Angehörigengruppe</w:t>
            </w:r>
          </w:p>
        </w:tc>
      </w:tr>
      <w:tr w:rsidR="004D1CE4" w:rsidRPr="0061276D" w14:paraId="00F779CA" w14:textId="77777777" w:rsidTr="005551AF">
        <w:trPr>
          <w:trHeight w:val="288"/>
        </w:trPr>
        <w:tc>
          <w:tcPr>
            <w:tcW w:w="562" w:type="dxa"/>
            <w:noWrap/>
            <w:hideMark/>
          </w:tcPr>
          <w:p w14:paraId="3B43ACA1" w14:textId="77777777" w:rsidR="004D1CE4" w:rsidRPr="00DB2747" w:rsidRDefault="004D1CE4" w:rsidP="00DB2747">
            <w:pPr>
              <w:rPr>
                <w:rFonts w:asciiTheme="minorHAnsi" w:hAnsiTheme="minorHAnsi" w:cstheme="minorHAnsi"/>
                <w:sz w:val="22"/>
                <w:szCs w:val="22"/>
              </w:rPr>
            </w:pPr>
          </w:p>
        </w:tc>
        <w:tc>
          <w:tcPr>
            <w:tcW w:w="4111" w:type="dxa"/>
            <w:noWrap/>
            <w:hideMark/>
          </w:tcPr>
          <w:p w14:paraId="2E4269F7" w14:textId="77777777" w:rsidR="004D1CE4" w:rsidRPr="00DB2747" w:rsidRDefault="004D1CE4" w:rsidP="00DB2747">
            <w:pPr>
              <w:rPr>
                <w:rFonts w:asciiTheme="minorHAnsi" w:hAnsiTheme="minorHAnsi" w:cstheme="minorHAnsi"/>
                <w:sz w:val="20"/>
                <w:szCs w:val="20"/>
              </w:rPr>
            </w:pPr>
          </w:p>
        </w:tc>
        <w:tc>
          <w:tcPr>
            <w:tcW w:w="1554" w:type="dxa"/>
            <w:noWrap/>
          </w:tcPr>
          <w:p w14:paraId="44E7FB87" w14:textId="499F578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2.4.4</w:t>
            </w:r>
          </w:p>
        </w:tc>
        <w:tc>
          <w:tcPr>
            <w:tcW w:w="7513" w:type="dxa"/>
            <w:gridSpan w:val="2"/>
            <w:noWrap/>
          </w:tcPr>
          <w:p w14:paraId="12A938DF" w14:textId="3D04FA4B"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Zwei Leistungserbringer in Gruppen</w:t>
            </w:r>
          </w:p>
        </w:tc>
      </w:tr>
      <w:tr w:rsidR="004D1CE4" w:rsidRPr="0061276D" w14:paraId="7FC02886" w14:textId="77777777" w:rsidTr="005551AF">
        <w:trPr>
          <w:trHeight w:val="288"/>
        </w:trPr>
        <w:tc>
          <w:tcPr>
            <w:tcW w:w="562" w:type="dxa"/>
            <w:noWrap/>
            <w:hideMark/>
          </w:tcPr>
          <w:p w14:paraId="6108B84F" w14:textId="27BC08AC" w:rsidR="004D1CE4" w:rsidRPr="00DB2747" w:rsidRDefault="004D1CE4" w:rsidP="00DB2747">
            <w:pPr>
              <w:rPr>
                <w:rFonts w:asciiTheme="minorHAnsi" w:hAnsiTheme="minorHAnsi" w:cstheme="minorHAnsi"/>
                <w:sz w:val="22"/>
                <w:szCs w:val="22"/>
              </w:rPr>
            </w:pPr>
          </w:p>
        </w:tc>
        <w:tc>
          <w:tcPr>
            <w:tcW w:w="4111" w:type="dxa"/>
            <w:noWrap/>
            <w:hideMark/>
          </w:tcPr>
          <w:p w14:paraId="2693895D" w14:textId="73A57D88" w:rsidR="004D1CE4" w:rsidRPr="00DB2747" w:rsidRDefault="004D1CE4" w:rsidP="00DB2747">
            <w:pPr>
              <w:rPr>
                <w:rFonts w:asciiTheme="minorHAnsi" w:hAnsiTheme="minorHAnsi" w:cstheme="minorHAnsi"/>
                <w:sz w:val="22"/>
                <w:szCs w:val="22"/>
              </w:rPr>
            </w:pPr>
          </w:p>
        </w:tc>
        <w:tc>
          <w:tcPr>
            <w:tcW w:w="1554" w:type="dxa"/>
            <w:noWrap/>
            <w:hideMark/>
          </w:tcPr>
          <w:p w14:paraId="05098663" w14:textId="0302F71A" w:rsidR="004D1CE4" w:rsidRPr="00DB2747" w:rsidRDefault="004D1CE4" w:rsidP="00DB2747">
            <w:pPr>
              <w:rPr>
                <w:rFonts w:asciiTheme="minorHAnsi" w:hAnsiTheme="minorHAnsi" w:cstheme="minorHAnsi"/>
                <w:sz w:val="22"/>
                <w:szCs w:val="22"/>
              </w:rPr>
            </w:pPr>
          </w:p>
        </w:tc>
        <w:tc>
          <w:tcPr>
            <w:tcW w:w="7513" w:type="dxa"/>
            <w:gridSpan w:val="2"/>
            <w:noWrap/>
            <w:hideMark/>
          </w:tcPr>
          <w:p w14:paraId="59753005" w14:textId="23CE55F2" w:rsidR="004D1CE4" w:rsidRPr="00DB2747" w:rsidRDefault="004D1CE4" w:rsidP="00DB2747">
            <w:pPr>
              <w:rPr>
                <w:rFonts w:asciiTheme="minorHAnsi" w:hAnsiTheme="minorHAnsi" w:cstheme="minorHAnsi"/>
                <w:sz w:val="22"/>
                <w:szCs w:val="22"/>
              </w:rPr>
            </w:pPr>
          </w:p>
        </w:tc>
      </w:tr>
      <w:tr w:rsidR="004D1CE4" w:rsidRPr="0061276D" w14:paraId="6C989365" w14:textId="77777777" w:rsidTr="005551AF">
        <w:trPr>
          <w:trHeight w:val="288"/>
        </w:trPr>
        <w:tc>
          <w:tcPr>
            <w:tcW w:w="562" w:type="dxa"/>
            <w:noWrap/>
            <w:hideMark/>
          </w:tcPr>
          <w:p w14:paraId="09DF8E6D" w14:textId="3DC3F2EB"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2.5</w:t>
            </w:r>
          </w:p>
        </w:tc>
        <w:tc>
          <w:tcPr>
            <w:tcW w:w="4111" w:type="dxa"/>
            <w:noWrap/>
            <w:hideMark/>
          </w:tcPr>
          <w:p w14:paraId="606794E2" w14:textId="214AEF39"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Labor</w:t>
            </w:r>
          </w:p>
        </w:tc>
        <w:tc>
          <w:tcPr>
            <w:tcW w:w="1554" w:type="dxa"/>
            <w:noWrap/>
            <w:hideMark/>
          </w:tcPr>
          <w:p w14:paraId="00C77F2B" w14:textId="52C82CFB"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2.5.1</w:t>
            </w:r>
          </w:p>
        </w:tc>
        <w:tc>
          <w:tcPr>
            <w:tcW w:w="7513" w:type="dxa"/>
            <w:gridSpan w:val="2"/>
            <w:noWrap/>
            <w:hideMark/>
          </w:tcPr>
          <w:p w14:paraId="006638AA" w14:textId="647279C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Laborleistungen</w:t>
            </w:r>
          </w:p>
        </w:tc>
      </w:tr>
      <w:tr w:rsidR="004D1CE4" w:rsidRPr="0061276D" w14:paraId="4592DF1D" w14:textId="77777777" w:rsidTr="005551AF">
        <w:trPr>
          <w:trHeight w:val="288"/>
        </w:trPr>
        <w:tc>
          <w:tcPr>
            <w:tcW w:w="562" w:type="dxa"/>
            <w:noWrap/>
            <w:hideMark/>
          </w:tcPr>
          <w:p w14:paraId="0F15E3DE" w14:textId="16B63337" w:rsidR="004D1CE4" w:rsidRPr="00DB2747" w:rsidRDefault="004D1CE4" w:rsidP="00DB2747">
            <w:pPr>
              <w:rPr>
                <w:rFonts w:asciiTheme="minorHAnsi" w:hAnsiTheme="minorHAnsi" w:cstheme="minorHAnsi"/>
                <w:sz w:val="22"/>
                <w:szCs w:val="22"/>
              </w:rPr>
            </w:pPr>
          </w:p>
        </w:tc>
        <w:tc>
          <w:tcPr>
            <w:tcW w:w="4111" w:type="dxa"/>
            <w:noWrap/>
            <w:hideMark/>
          </w:tcPr>
          <w:p w14:paraId="55D36C20" w14:textId="66D784BE" w:rsidR="004D1CE4" w:rsidRPr="00DB2747" w:rsidRDefault="004D1CE4" w:rsidP="00DB2747">
            <w:pPr>
              <w:rPr>
                <w:rFonts w:asciiTheme="minorHAnsi" w:hAnsiTheme="minorHAnsi" w:cstheme="minorHAnsi"/>
                <w:sz w:val="20"/>
                <w:szCs w:val="20"/>
              </w:rPr>
            </w:pPr>
          </w:p>
        </w:tc>
        <w:tc>
          <w:tcPr>
            <w:tcW w:w="1554" w:type="dxa"/>
            <w:noWrap/>
            <w:hideMark/>
          </w:tcPr>
          <w:p w14:paraId="2AE7F579" w14:textId="765757CE"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2.5.2</w:t>
            </w:r>
          </w:p>
        </w:tc>
        <w:tc>
          <w:tcPr>
            <w:tcW w:w="7513" w:type="dxa"/>
            <w:gridSpan w:val="2"/>
            <w:noWrap/>
            <w:hideMark/>
          </w:tcPr>
          <w:p w14:paraId="1FC0E160" w14:textId="47E191AE"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Laborpauschale</w:t>
            </w:r>
          </w:p>
        </w:tc>
      </w:tr>
      <w:tr w:rsidR="004D1CE4" w:rsidRPr="0061276D" w14:paraId="01659F83" w14:textId="77777777" w:rsidTr="005551AF">
        <w:trPr>
          <w:trHeight w:val="288"/>
        </w:trPr>
        <w:tc>
          <w:tcPr>
            <w:tcW w:w="562" w:type="dxa"/>
            <w:noWrap/>
            <w:hideMark/>
          </w:tcPr>
          <w:p w14:paraId="2E864110" w14:textId="77777777" w:rsidR="004D1CE4" w:rsidRPr="00DB2747" w:rsidRDefault="004D1CE4" w:rsidP="00DB2747">
            <w:pPr>
              <w:rPr>
                <w:rFonts w:asciiTheme="minorHAnsi" w:hAnsiTheme="minorHAnsi" w:cstheme="minorHAnsi"/>
                <w:sz w:val="22"/>
                <w:szCs w:val="22"/>
              </w:rPr>
            </w:pPr>
          </w:p>
        </w:tc>
        <w:tc>
          <w:tcPr>
            <w:tcW w:w="4111" w:type="dxa"/>
            <w:noWrap/>
            <w:hideMark/>
          </w:tcPr>
          <w:p w14:paraId="6F7AE15F" w14:textId="77777777" w:rsidR="004D1CE4" w:rsidRPr="00DB2747" w:rsidRDefault="004D1CE4" w:rsidP="00DB2747">
            <w:pPr>
              <w:rPr>
                <w:rFonts w:asciiTheme="minorHAnsi" w:hAnsiTheme="minorHAnsi" w:cstheme="minorHAnsi"/>
                <w:sz w:val="20"/>
                <w:szCs w:val="20"/>
              </w:rPr>
            </w:pPr>
          </w:p>
        </w:tc>
        <w:tc>
          <w:tcPr>
            <w:tcW w:w="1554" w:type="dxa"/>
            <w:noWrap/>
            <w:hideMark/>
          </w:tcPr>
          <w:p w14:paraId="5824DC31" w14:textId="6463AF18"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2.5.4</w:t>
            </w:r>
          </w:p>
        </w:tc>
        <w:tc>
          <w:tcPr>
            <w:tcW w:w="7513" w:type="dxa"/>
            <w:gridSpan w:val="2"/>
            <w:noWrap/>
            <w:hideMark/>
          </w:tcPr>
          <w:p w14:paraId="1920262F" w14:textId="5F678F20"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Laborbefundung</w:t>
            </w:r>
          </w:p>
        </w:tc>
      </w:tr>
      <w:tr w:rsidR="004D1CE4" w:rsidRPr="0061276D" w14:paraId="3CB54897" w14:textId="77777777" w:rsidTr="005551AF">
        <w:trPr>
          <w:trHeight w:val="288"/>
        </w:trPr>
        <w:tc>
          <w:tcPr>
            <w:tcW w:w="562" w:type="dxa"/>
            <w:noWrap/>
            <w:hideMark/>
          </w:tcPr>
          <w:p w14:paraId="32A50E2D" w14:textId="1411442C" w:rsidR="004D1CE4" w:rsidRPr="00DB2747" w:rsidRDefault="004D1CE4" w:rsidP="00DB2747">
            <w:pPr>
              <w:rPr>
                <w:rFonts w:asciiTheme="minorHAnsi" w:hAnsiTheme="minorHAnsi" w:cstheme="minorHAnsi"/>
                <w:sz w:val="22"/>
                <w:szCs w:val="22"/>
              </w:rPr>
            </w:pPr>
          </w:p>
        </w:tc>
        <w:tc>
          <w:tcPr>
            <w:tcW w:w="4111" w:type="dxa"/>
            <w:noWrap/>
            <w:hideMark/>
          </w:tcPr>
          <w:p w14:paraId="011DA6ED" w14:textId="75710274" w:rsidR="004D1CE4" w:rsidRPr="00DB2747" w:rsidRDefault="004D1CE4" w:rsidP="00DB2747">
            <w:pPr>
              <w:rPr>
                <w:rFonts w:asciiTheme="minorHAnsi" w:hAnsiTheme="minorHAnsi" w:cstheme="minorHAnsi"/>
                <w:sz w:val="22"/>
                <w:szCs w:val="22"/>
              </w:rPr>
            </w:pPr>
          </w:p>
        </w:tc>
        <w:tc>
          <w:tcPr>
            <w:tcW w:w="1554" w:type="dxa"/>
            <w:noWrap/>
            <w:hideMark/>
          </w:tcPr>
          <w:p w14:paraId="69997127" w14:textId="22EA9ED6" w:rsidR="004D1CE4" w:rsidRPr="00DB2747" w:rsidRDefault="004D1CE4" w:rsidP="00DB2747">
            <w:pPr>
              <w:rPr>
                <w:rFonts w:asciiTheme="minorHAnsi" w:hAnsiTheme="minorHAnsi" w:cstheme="minorHAnsi"/>
                <w:sz w:val="22"/>
                <w:szCs w:val="22"/>
              </w:rPr>
            </w:pPr>
          </w:p>
        </w:tc>
        <w:tc>
          <w:tcPr>
            <w:tcW w:w="7513" w:type="dxa"/>
            <w:gridSpan w:val="2"/>
            <w:noWrap/>
            <w:hideMark/>
          </w:tcPr>
          <w:p w14:paraId="3E96DD51" w14:textId="1DDC33E9" w:rsidR="004D1CE4" w:rsidRPr="00DB2747" w:rsidRDefault="004D1CE4" w:rsidP="00DB2747">
            <w:pPr>
              <w:rPr>
                <w:rFonts w:asciiTheme="minorHAnsi" w:hAnsiTheme="minorHAnsi" w:cstheme="minorHAnsi"/>
                <w:sz w:val="22"/>
                <w:szCs w:val="22"/>
              </w:rPr>
            </w:pPr>
          </w:p>
        </w:tc>
      </w:tr>
      <w:tr w:rsidR="004D1CE4" w:rsidRPr="0061276D" w14:paraId="7B64EBED" w14:textId="77777777" w:rsidTr="005551AF">
        <w:trPr>
          <w:trHeight w:val="288"/>
        </w:trPr>
        <w:tc>
          <w:tcPr>
            <w:tcW w:w="562" w:type="dxa"/>
            <w:noWrap/>
            <w:hideMark/>
          </w:tcPr>
          <w:p w14:paraId="11AE8C5E" w14:textId="23C0460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2.6</w:t>
            </w:r>
          </w:p>
        </w:tc>
        <w:tc>
          <w:tcPr>
            <w:tcW w:w="4111" w:type="dxa"/>
            <w:noWrap/>
            <w:hideMark/>
          </w:tcPr>
          <w:p w14:paraId="704BBEDF" w14:textId="224ACF29"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AmBADO</w:t>
            </w:r>
          </w:p>
        </w:tc>
        <w:tc>
          <w:tcPr>
            <w:tcW w:w="1554" w:type="dxa"/>
            <w:noWrap/>
            <w:hideMark/>
          </w:tcPr>
          <w:p w14:paraId="24E67137" w14:textId="2AFA2B37"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2.6.1</w:t>
            </w:r>
          </w:p>
        </w:tc>
        <w:tc>
          <w:tcPr>
            <w:tcW w:w="7513" w:type="dxa"/>
            <w:gridSpan w:val="2"/>
            <w:noWrap/>
            <w:hideMark/>
          </w:tcPr>
          <w:p w14:paraId="37921CBA" w14:textId="5A58B63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AmBADO-Ziffern Abrechenbarkeit</w:t>
            </w:r>
          </w:p>
        </w:tc>
      </w:tr>
      <w:tr w:rsidR="004D1CE4" w:rsidRPr="0061276D" w14:paraId="66A88046" w14:textId="77777777" w:rsidTr="005551AF">
        <w:trPr>
          <w:trHeight w:val="288"/>
        </w:trPr>
        <w:tc>
          <w:tcPr>
            <w:tcW w:w="562" w:type="dxa"/>
            <w:noWrap/>
            <w:hideMark/>
          </w:tcPr>
          <w:p w14:paraId="69BBD390" w14:textId="18536900" w:rsidR="004D1CE4" w:rsidRPr="00DB2747" w:rsidRDefault="004D1CE4" w:rsidP="00DB2747">
            <w:pPr>
              <w:rPr>
                <w:rFonts w:asciiTheme="minorHAnsi" w:hAnsiTheme="minorHAnsi" w:cstheme="minorHAnsi"/>
                <w:sz w:val="22"/>
                <w:szCs w:val="22"/>
              </w:rPr>
            </w:pPr>
          </w:p>
        </w:tc>
        <w:tc>
          <w:tcPr>
            <w:tcW w:w="4111" w:type="dxa"/>
            <w:noWrap/>
            <w:hideMark/>
          </w:tcPr>
          <w:p w14:paraId="65B02DE0" w14:textId="52EFD2A1" w:rsidR="004D1CE4" w:rsidRPr="00DB2747" w:rsidRDefault="004D1CE4" w:rsidP="00DB2747">
            <w:pPr>
              <w:rPr>
                <w:rFonts w:asciiTheme="minorHAnsi" w:hAnsiTheme="minorHAnsi" w:cstheme="minorHAnsi"/>
                <w:sz w:val="20"/>
                <w:szCs w:val="20"/>
              </w:rPr>
            </w:pPr>
          </w:p>
        </w:tc>
        <w:tc>
          <w:tcPr>
            <w:tcW w:w="1554" w:type="dxa"/>
            <w:noWrap/>
            <w:hideMark/>
          </w:tcPr>
          <w:p w14:paraId="32DCE02A" w14:textId="52895331"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2.6.2</w:t>
            </w:r>
          </w:p>
        </w:tc>
        <w:tc>
          <w:tcPr>
            <w:tcW w:w="7513" w:type="dxa"/>
            <w:gridSpan w:val="2"/>
            <w:noWrap/>
            <w:hideMark/>
          </w:tcPr>
          <w:p w14:paraId="5E90736A" w14:textId="0D7B8185"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AmBADO Datenerhebung</w:t>
            </w:r>
          </w:p>
        </w:tc>
      </w:tr>
      <w:tr w:rsidR="004D1CE4" w:rsidRPr="0061276D" w14:paraId="56D4D557" w14:textId="77777777" w:rsidTr="005551AF">
        <w:trPr>
          <w:trHeight w:val="288"/>
        </w:trPr>
        <w:tc>
          <w:tcPr>
            <w:tcW w:w="562" w:type="dxa"/>
            <w:noWrap/>
          </w:tcPr>
          <w:p w14:paraId="1468BBD9" w14:textId="77777777" w:rsidR="004D1CE4" w:rsidRPr="00DB2747" w:rsidRDefault="004D1CE4" w:rsidP="00DB2747">
            <w:pPr>
              <w:rPr>
                <w:rFonts w:asciiTheme="minorHAnsi" w:hAnsiTheme="minorHAnsi" w:cstheme="minorHAnsi"/>
                <w:sz w:val="22"/>
                <w:szCs w:val="22"/>
              </w:rPr>
            </w:pPr>
          </w:p>
        </w:tc>
        <w:tc>
          <w:tcPr>
            <w:tcW w:w="4111" w:type="dxa"/>
            <w:noWrap/>
          </w:tcPr>
          <w:p w14:paraId="10FB321A" w14:textId="77777777" w:rsidR="004D1CE4" w:rsidRPr="00DB2747" w:rsidRDefault="004D1CE4" w:rsidP="00DB2747">
            <w:pPr>
              <w:rPr>
                <w:rFonts w:asciiTheme="minorHAnsi" w:hAnsiTheme="minorHAnsi" w:cstheme="minorHAnsi"/>
                <w:sz w:val="20"/>
                <w:szCs w:val="20"/>
              </w:rPr>
            </w:pPr>
          </w:p>
        </w:tc>
        <w:tc>
          <w:tcPr>
            <w:tcW w:w="1554" w:type="dxa"/>
            <w:noWrap/>
          </w:tcPr>
          <w:p w14:paraId="0FBDC0C0" w14:textId="56249352" w:rsidR="004D1CE4" w:rsidRPr="00DB2747" w:rsidRDefault="004D1CE4" w:rsidP="00DB2747">
            <w:pPr>
              <w:rPr>
                <w:rFonts w:asciiTheme="minorHAnsi" w:hAnsiTheme="minorHAnsi" w:cstheme="minorHAnsi"/>
                <w:sz w:val="20"/>
                <w:szCs w:val="20"/>
              </w:rPr>
            </w:pPr>
          </w:p>
        </w:tc>
        <w:tc>
          <w:tcPr>
            <w:tcW w:w="7513" w:type="dxa"/>
            <w:gridSpan w:val="2"/>
            <w:noWrap/>
          </w:tcPr>
          <w:p w14:paraId="7D984D27" w14:textId="54349FFB" w:rsidR="004D1CE4" w:rsidRPr="00DB2747" w:rsidRDefault="004D1CE4" w:rsidP="00DB2747">
            <w:pPr>
              <w:rPr>
                <w:rFonts w:asciiTheme="minorHAnsi" w:hAnsiTheme="minorHAnsi" w:cstheme="minorHAnsi"/>
                <w:sz w:val="20"/>
                <w:szCs w:val="20"/>
              </w:rPr>
            </w:pPr>
          </w:p>
        </w:tc>
      </w:tr>
      <w:tr w:rsidR="00DB2747" w:rsidRPr="0061276D" w14:paraId="6EF3131A" w14:textId="77777777" w:rsidTr="00DB2747">
        <w:trPr>
          <w:trHeight w:val="288"/>
        </w:trPr>
        <w:tc>
          <w:tcPr>
            <w:tcW w:w="562" w:type="dxa"/>
            <w:noWrap/>
            <w:hideMark/>
          </w:tcPr>
          <w:p w14:paraId="694DE44E" w14:textId="79602E64" w:rsidR="00DB2747" w:rsidRPr="00DB2747" w:rsidRDefault="00DB2747" w:rsidP="00DB2747">
            <w:pPr>
              <w:rPr>
                <w:rFonts w:asciiTheme="minorHAnsi" w:hAnsiTheme="minorHAnsi" w:cstheme="minorHAnsi"/>
                <w:sz w:val="22"/>
                <w:szCs w:val="22"/>
              </w:rPr>
            </w:pPr>
            <w:r w:rsidRPr="00DB2747">
              <w:rPr>
                <w:rFonts w:asciiTheme="minorHAnsi" w:hAnsiTheme="minorHAnsi" w:cstheme="minorHAnsi"/>
                <w:sz w:val="22"/>
                <w:szCs w:val="22"/>
              </w:rPr>
              <w:lastRenderedPageBreak/>
              <w:t>2.7</w:t>
            </w:r>
          </w:p>
        </w:tc>
        <w:tc>
          <w:tcPr>
            <w:tcW w:w="4111" w:type="dxa"/>
            <w:noWrap/>
            <w:hideMark/>
          </w:tcPr>
          <w:p w14:paraId="6C3C6D3C" w14:textId="77777777" w:rsidR="00DB2747" w:rsidRPr="00DB2747" w:rsidRDefault="00DB2747" w:rsidP="00DB2747">
            <w:pPr>
              <w:rPr>
                <w:rFonts w:asciiTheme="minorHAnsi" w:hAnsiTheme="minorHAnsi" w:cstheme="minorHAnsi"/>
                <w:sz w:val="22"/>
                <w:szCs w:val="22"/>
              </w:rPr>
            </w:pPr>
            <w:r w:rsidRPr="00DB2747">
              <w:rPr>
                <w:rFonts w:asciiTheme="minorHAnsi" w:hAnsiTheme="minorHAnsi" w:cstheme="minorHAnsi"/>
                <w:sz w:val="22"/>
                <w:szCs w:val="22"/>
              </w:rPr>
              <w:t>Fahrten</w:t>
            </w:r>
          </w:p>
        </w:tc>
        <w:tc>
          <w:tcPr>
            <w:tcW w:w="1554" w:type="dxa"/>
            <w:noWrap/>
            <w:hideMark/>
          </w:tcPr>
          <w:p w14:paraId="65377C06" w14:textId="77777777" w:rsidR="00DB2747" w:rsidRPr="00DB2747" w:rsidRDefault="00DB2747" w:rsidP="00CC6E4D">
            <w:pPr>
              <w:rPr>
                <w:rFonts w:asciiTheme="minorHAnsi" w:hAnsiTheme="minorHAnsi" w:cstheme="minorHAnsi"/>
                <w:sz w:val="22"/>
                <w:szCs w:val="22"/>
              </w:rPr>
            </w:pPr>
            <w:r w:rsidRPr="00DB2747">
              <w:rPr>
                <w:rFonts w:asciiTheme="minorHAnsi" w:hAnsiTheme="minorHAnsi" w:cstheme="minorHAnsi"/>
                <w:sz w:val="22"/>
                <w:szCs w:val="22"/>
              </w:rPr>
              <w:t>2.7.1</w:t>
            </w:r>
          </w:p>
        </w:tc>
        <w:tc>
          <w:tcPr>
            <w:tcW w:w="7513" w:type="dxa"/>
            <w:gridSpan w:val="2"/>
            <w:noWrap/>
            <w:hideMark/>
          </w:tcPr>
          <w:p w14:paraId="1C9DDB4E" w14:textId="77777777" w:rsidR="00DB2747" w:rsidRPr="00DB2747" w:rsidRDefault="00DB2747" w:rsidP="00CC6E4D">
            <w:pPr>
              <w:rPr>
                <w:rFonts w:asciiTheme="minorHAnsi" w:hAnsiTheme="minorHAnsi" w:cstheme="minorHAnsi"/>
                <w:sz w:val="22"/>
                <w:szCs w:val="22"/>
              </w:rPr>
            </w:pPr>
            <w:r w:rsidRPr="00DB2747">
              <w:rPr>
                <w:rFonts w:asciiTheme="minorHAnsi" w:hAnsiTheme="minorHAnsi" w:cstheme="minorHAnsi"/>
                <w:sz w:val="22"/>
                <w:szCs w:val="22"/>
              </w:rPr>
              <w:t>Fahrzeiten</w:t>
            </w:r>
          </w:p>
        </w:tc>
      </w:tr>
      <w:tr w:rsidR="00DB2747" w:rsidRPr="0061276D" w14:paraId="2DB4DE57" w14:textId="77777777" w:rsidTr="00CC6E4D">
        <w:trPr>
          <w:trHeight w:val="288"/>
        </w:trPr>
        <w:tc>
          <w:tcPr>
            <w:tcW w:w="562" w:type="dxa"/>
            <w:noWrap/>
            <w:hideMark/>
          </w:tcPr>
          <w:p w14:paraId="7E30CF7E" w14:textId="77777777" w:rsidR="00DB2747" w:rsidRPr="0061276D" w:rsidRDefault="00DB2747" w:rsidP="00DB2747">
            <w:pPr>
              <w:rPr>
                <w:rFonts w:asciiTheme="minorHAnsi" w:hAnsiTheme="minorHAnsi" w:cstheme="minorHAnsi"/>
                <w:color w:val="000000"/>
                <w:sz w:val="22"/>
                <w:szCs w:val="22"/>
              </w:rPr>
            </w:pPr>
          </w:p>
        </w:tc>
        <w:tc>
          <w:tcPr>
            <w:tcW w:w="4111" w:type="dxa"/>
            <w:noWrap/>
            <w:hideMark/>
          </w:tcPr>
          <w:p w14:paraId="31950923" w14:textId="77777777" w:rsidR="00DB2747" w:rsidRPr="0061276D" w:rsidRDefault="00DB2747" w:rsidP="00DB2747">
            <w:pPr>
              <w:rPr>
                <w:rFonts w:asciiTheme="minorHAnsi" w:hAnsiTheme="minorHAnsi" w:cstheme="minorHAnsi"/>
                <w:sz w:val="20"/>
                <w:szCs w:val="20"/>
              </w:rPr>
            </w:pPr>
          </w:p>
        </w:tc>
        <w:tc>
          <w:tcPr>
            <w:tcW w:w="1554" w:type="dxa"/>
            <w:noWrap/>
            <w:hideMark/>
          </w:tcPr>
          <w:p w14:paraId="3D8C6100" w14:textId="77777777" w:rsidR="00DB2747" w:rsidRPr="0061276D" w:rsidRDefault="00DB2747" w:rsidP="00CC6E4D">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2.7.2</w:t>
            </w:r>
          </w:p>
        </w:tc>
        <w:tc>
          <w:tcPr>
            <w:tcW w:w="7513" w:type="dxa"/>
            <w:gridSpan w:val="2"/>
            <w:noWrap/>
            <w:hideMark/>
          </w:tcPr>
          <w:p w14:paraId="4D721C4F" w14:textId="77777777" w:rsidR="00DB2747" w:rsidRPr="0061276D" w:rsidRDefault="00DB2747" w:rsidP="00CC6E4D">
            <w:pPr>
              <w:rPr>
                <w:rFonts w:asciiTheme="minorHAnsi" w:hAnsiTheme="minorHAnsi" w:cstheme="minorHAnsi"/>
                <w:color w:val="000000"/>
                <w:sz w:val="22"/>
                <w:szCs w:val="22"/>
              </w:rPr>
            </w:pPr>
            <w:r w:rsidRPr="0061276D">
              <w:rPr>
                <w:rFonts w:asciiTheme="minorHAnsi" w:hAnsiTheme="minorHAnsi" w:cstheme="minorHAnsi"/>
                <w:color w:val="000000"/>
                <w:sz w:val="22"/>
                <w:szCs w:val="22"/>
              </w:rPr>
              <w:t>Parallele Behandlung aufsuchend durch zwei Berufsgruppen*</w:t>
            </w:r>
          </w:p>
        </w:tc>
      </w:tr>
      <w:tr w:rsidR="00DB2747" w:rsidRPr="0061276D" w14:paraId="3923BE85" w14:textId="77777777" w:rsidTr="00CC6E4D">
        <w:trPr>
          <w:trHeight w:val="288"/>
        </w:trPr>
        <w:tc>
          <w:tcPr>
            <w:tcW w:w="562" w:type="dxa"/>
            <w:noWrap/>
            <w:hideMark/>
          </w:tcPr>
          <w:p w14:paraId="0EC268B4" w14:textId="77777777" w:rsidR="00DB2747" w:rsidRPr="0061276D" w:rsidRDefault="00DB2747" w:rsidP="00DB2747">
            <w:pPr>
              <w:rPr>
                <w:rFonts w:ascii="Calibri" w:hAnsi="Calibri" w:cs="Calibri"/>
                <w:color w:val="000000"/>
                <w:sz w:val="22"/>
                <w:szCs w:val="22"/>
              </w:rPr>
            </w:pPr>
          </w:p>
        </w:tc>
        <w:tc>
          <w:tcPr>
            <w:tcW w:w="4111" w:type="dxa"/>
            <w:noWrap/>
            <w:hideMark/>
          </w:tcPr>
          <w:p w14:paraId="5337849A" w14:textId="77777777" w:rsidR="00DB2747" w:rsidRPr="0061276D" w:rsidRDefault="00DB2747" w:rsidP="00DB2747">
            <w:pPr>
              <w:rPr>
                <w:sz w:val="20"/>
                <w:szCs w:val="20"/>
              </w:rPr>
            </w:pPr>
          </w:p>
        </w:tc>
        <w:tc>
          <w:tcPr>
            <w:tcW w:w="1554" w:type="dxa"/>
            <w:noWrap/>
            <w:hideMark/>
          </w:tcPr>
          <w:p w14:paraId="13E6DF2A" w14:textId="77777777" w:rsidR="00DB2747" w:rsidRPr="0061276D" w:rsidRDefault="00DB2747" w:rsidP="00CC6E4D">
            <w:pPr>
              <w:rPr>
                <w:sz w:val="20"/>
                <w:szCs w:val="20"/>
              </w:rPr>
            </w:pPr>
          </w:p>
        </w:tc>
        <w:tc>
          <w:tcPr>
            <w:tcW w:w="7513" w:type="dxa"/>
            <w:gridSpan w:val="2"/>
            <w:noWrap/>
            <w:hideMark/>
          </w:tcPr>
          <w:p w14:paraId="1B0C1238" w14:textId="77777777" w:rsidR="00DB2747" w:rsidRPr="0061276D" w:rsidRDefault="00DB2747" w:rsidP="00CC6E4D">
            <w:pPr>
              <w:rPr>
                <w:sz w:val="20"/>
                <w:szCs w:val="20"/>
              </w:rPr>
            </w:pPr>
          </w:p>
        </w:tc>
      </w:tr>
    </w:tbl>
    <w:p w14:paraId="63724278" w14:textId="77777777" w:rsidR="0061276D" w:rsidRDefault="0061276D" w:rsidP="00582A0A">
      <w:pPr>
        <w:rPr>
          <w:rFonts w:asciiTheme="minorHAnsi" w:hAnsiTheme="minorHAnsi" w:cstheme="minorHAnsi"/>
          <w:color w:val="000000" w:themeColor="text1"/>
          <w:sz w:val="22"/>
          <w:szCs w:val="22"/>
        </w:rPr>
      </w:pPr>
    </w:p>
    <w:p w14:paraId="2597E2DA" w14:textId="20F14860" w:rsidR="0061276D" w:rsidRDefault="0061276D" w:rsidP="00582A0A">
      <w:pPr>
        <w:rPr>
          <w:rFonts w:asciiTheme="minorHAnsi" w:hAnsiTheme="minorHAnsi" w:cstheme="minorHAnsi"/>
          <w:color w:val="000000" w:themeColor="text1"/>
          <w:sz w:val="22"/>
          <w:szCs w:val="22"/>
        </w:rPr>
        <w:sectPr w:rsidR="0061276D" w:rsidSect="00B10E36">
          <w:footerReference w:type="even" r:id="rId8"/>
          <w:footerReference w:type="default" r:id="rId9"/>
          <w:pgSz w:w="16840" w:h="11907" w:orient="landscape" w:code="9"/>
          <w:pgMar w:top="815" w:right="567" w:bottom="815" w:left="1134" w:header="720" w:footer="278" w:gutter="0"/>
          <w:paperSrc w:first="3" w:other="3"/>
          <w:cols w:space="708"/>
          <w:docGrid w:linePitch="326"/>
        </w:sectPr>
      </w:pPr>
    </w:p>
    <w:p w14:paraId="73C2757C" w14:textId="704F19A6" w:rsidR="00582A0A" w:rsidRPr="00E77E6B" w:rsidRDefault="00582A0A" w:rsidP="00582A0A">
      <w:pPr>
        <w:rPr>
          <w:rFonts w:asciiTheme="minorHAnsi" w:hAnsiTheme="minorHAnsi" w:cstheme="minorHAnsi"/>
          <w:color w:val="000000" w:themeColor="text1"/>
          <w:sz w:val="22"/>
          <w:szCs w:val="22"/>
        </w:rPr>
      </w:pPr>
    </w:p>
    <w:p w14:paraId="06221115" w14:textId="77777777" w:rsidR="00F11B5D" w:rsidRPr="00955618" w:rsidRDefault="00F11B5D" w:rsidP="00F11B5D">
      <w:pPr>
        <w:pStyle w:val="berschrift4"/>
        <w:jc w:val="center"/>
      </w:pPr>
      <w:r w:rsidRPr="00955618">
        <w:rPr>
          <w:b w:val="0"/>
          <w:bCs w:val="0"/>
          <w:sz w:val="28"/>
        </w:rPr>
        <w:t>Ausführungsbestimmungen</w:t>
      </w:r>
      <w:r w:rsidRPr="00955618">
        <w:t xml:space="preserve"> </w:t>
      </w:r>
    </w:p>
    <w:p w14:paraId="63F60FFE" w14:textId="77777777" w:rsidR="00F11B5D" w:rsidRPr="00955618" w:rsidRDefault="00F11B5D" w:rsidP="00F11B5D">
      <w:pPr>
        <w:rPr>
          <w:rFonts w:ascii="Arial" w:hAnsi="Arial" w:cs="Arial"/>
          <w:color w:val="000000" w:themeColor="text1"/>
        </w:rPr>
      </w:pPr>
    </w:p>
    <w:p w14:paraId="71D07A68" w14:textId="26AA1FD8" w:rsidR="00F11B5D" w:rsidRPr="00955618" w:rsidRDefault="00F11B5D" w:rsidP="00F11B5D">
      <w:pPr>
        <w:rPr>
          <w:rFonts w:ascii="Arial" w:hAnsi="Arial" w:cs="Arial"/>
          <w:color w:val="000000" w:themeColor="text1"/>
          <w:sz w:val="22"/>
        </w:rPr>
      </w:pPr>
      <w:r w:rsidRPr="00955618">
        <w:rPr>
          <w:rFonts w:ascii="Arial" w:hAnsi="Arial" w:cs="Arial"/>
          <w:color w:val="000000" w:themeColor="text1"/>
          <w:sz w:val="22"/>
        </w:rPr>
        <w:t>(Zwecks besserer Übersichtlichkeit finden nur die letzten 3 Ziffern des 8-stelligen Entgeltschlüssels Verwendung.)</w:t>
      </w:r>
    </w:p>
    <w:p w14:paraId="7E5ACCF7" w14:textId="76E5312F" w:rsidR="00F11B5D" w:rsidRPr="00955618" w:rsidRDefault="00F11B5D" w:rsidP="00F11B5D">
      <w:pPr>
        <w:rPr>
          <w:rFonts w:ascii="Arial" w:hAnsi="Arial" w:cs="Arial"/>
          <w:color w:val="000000" w:themeColor="text1"/>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9"/>
        <w:gridCol w:w="1633"/>
        <w:gridCol w:w="5831"/>
        <w:gridCol w:w="2867"/>
        <w:gridCol w:w="1357"/>
      </w:tblGrid>
      <w:tr w:rsidR="001739DE" w:rsidRPr="00955618" w14:paraId="3616A9CC" w14:textId="77777777" w:rsidTr="004D1CE4">
        <w:trPr>
          <w:trHeight w:val="919"/>
        </w:trPr>
        <w:tc>
          <w:tcPr>
            <w:tcW w:w="3049" w:type="dxa"/>
          </w:tcPr>
          <w:p w14:paraId="7C761451" w14:textId="77777777" w:rsidR="002A5C66" w:rsidRPr="00955618" w:rsidRDefault="002A5C66" w:rsidP="00337211">
            <w:pPr>
              <w:rPr>
                <w:rFonts w:ascii="Arial" w:hAnsi="Arial" w:cs="Arial"/>
                <w:b/>
                <w:bCs/>
                <w:color w:val="000000" w:themeColor="text1"/>
                <w:sz w:val="22"/>
              </w:rPr>
            </w:pPr>
          </w:p>
        </w:tc>
        <w:tc>
          <w:tcPr>
            <w:tcW w:w="1633" w:type="dxa"/>
          </w:tcPr>
          <w:p w14:paraId="7DD5F58B" w14:textId="463CF805" w:rsidR="002A5C66" w:rsidRPr="00955618" w:rsidRDefault="002A5C66" w:rsidP="00337211">
            <w:pPr>
              <w:jc w:val="center"/>
              <w:rPr>
                <w:rFonts w:ascii="Arial" w:hAnsi="Arial" w:cs="Arial"/>
                <w:b/>
                <w:bCs/>
                <w:color w:val="000000" w:themeColor="text1"/>
                <w:sz w:val="22"/>
              </w:rPr>
            </w:pPr>
          </w:p>
        </w:tc>
        <w:tc>
          <w:tcPr>
            <w:tcW w:w="5831" w:type="dxa"/>
          </w:tcPr>
          <w:p w14:paraId="1439E3B7" w14:textId="77777777" w:rsidR="002A5C66" w:rsidRPr="00955618" w:rsidRDefault="002A5C66" w:rsidP="00337211">
            <w:pPr>
              <w:rPr>
                <w:rFonts w:ascii="Arial" w:hAnsi="Arial" w:cs="Arial"/>
                <w:b/>
                <w:bCs/>
                <w:color w:val="000000" w:themeColor="text1"/>
                <w:sz w:val="22"/>
              </w:rPr>
            </w:pPr>
          </w:p>
        </w:tc>
        <w:tc>
          <w:tcPr>
            <w:tcW w:w="2867" w:type="dxa"/>
          </w:tcPr>
          <w:p w14:paraId="0BE18DAB" w14:textId="77777777" w:rsidR="002A5C66" w:rsidRPr="00955618" w:rsidRDefault="002A5C66" w:rsidP="00337211">
            <w:pPr>
              <w:rPr>
                <w:rFonts w:ascii="Arial" w:hAnsi="Arial" w:cs="Arial"/>
                <w:b/>
                <w:bCs/>
                <w:color w:val="000000" w:themeColor="text1"/>
                <w:sz w:val="22"/>
              </w:rPr>
            </w:pPr>
            <w:r w:rsidRPr="00955618">
              <w:rPr>
                <w:rFonts w:ascii="Arial" w:hAnsi="Arial" w:cs="Arial"/>
                <w:b/>
                <w:bCs/>
                <w:color w:val="000000" w:themeColor="text1"/>
                <w:sz w:val="22"/>
              </w:rPr>
              <w:t>Bemerkungen</w:t>
            </w:r>
          </w:p>
        </w:tc>
        <w:tc>
          <w:tcPr>
            <w:tcW w:w="1357" w:type="dxa"/>
          </w:tcPr>
          <w:p w14:paraId="670496B6" w14:textId="755C9381" w:rsidR="002A5C66" w:rsidRPr="00955618" w:rsidRDefault="007B78C9" w:rsidP="00337211">
            <w:pPr>
              <w:rPr>
                <w:rFonts w:ascii="Arial" w:hAnsi="Arial" w:cs="Arial"/>
                <w:b/>
                <w:bCs/>
                <w:color w:val="000000" w:themeColor="text1"/>
                <w:sz w:val="22"/>
              </w:rPr>
            </w:pPr>
            <w:r>
              <w:rPr>
                <w:rFonts w:ascii="Arial" w:hAnsi="Arial" w:cs="Arial"/>
                <w:b/>
                <w:bCs/>
                <w:color w:val="000000" w:themeColor="text1"/>
                <w:sz w:val="22"/>
              </w:rPr>
              <w:t>Geltung ab</w:t>
            </w:r>
          </w:p>
        </w:tc>
      </w:tr>
      <w:tr w:rsidR="001739DE" w:rsidRPr="00955618" w14:paraId="52AC213E" w14:textId="77777777" w:rsidTr="004D1CE4">
        <w:trPr>
          <w:trHeight w:val="1701"/>
        </w:trPr>
        <w:tc>
          <w:tcPr>
            <w:tcW w:w="3049" w:type="dxa"/>
            <w:vMerge w:val="restart"/>
          </w:tcPr>
          <w:p w14:paraId="260DA791" w14:textId="3613C46D" w:rsidR="004260EB" w:rsidRPr="00955618" w:rsidRDefault="004260EB" w:rsidP="00A2290B">
            <w:pPr>
              <w:pStyle w:val="berschrift1"/>
              <w:spacing w:before="0"/>
              <w:rPr>
                <w:rFonts w:ascii="Arial" w:eastAsia="Times New Roman" w:hAnsi="Arial" w:cs="Arial"/>
                <w:sz w:val="22"/>
                <w:szCs w:val="24"/>
              </w:rPr>
            </w:pPr>
            <w:r w:rsidRPr="00955618">
              <w:rPr>
                <w:rFonts w:ascii="Arial" w:eastAsia="Times New Roman" w:hAnsi="Arial" w:cs="Arial"/>
                <w:sz w:val="22"/>
                <w:szCs w:val="24"/>
              </w:rPr>
              <w:t xml:space="preserve">AmBADO-Ziffern – Abrechenbarkeit </w:t>
            </w:r>
          </w:p>
          <w:p w14:paraId="74E2206B" w14:textId="77777777" w:rsidR="004260EB" w:rsidRPr="00955618" w:rsidRDefault="004260EB" w:rsidP="00A2290B">
            <w:pPr>
              <w:rPr>
                <w:rFonts w:ascii="Arial" w:hAnsi="Arial" w:cs="Arial"/>
                <w:bCs/>
                <w:color w:val="000000" w:themeColor="text1"/>
                <w:sz w:val="22"/>
              </w:rPr>
            </w:pPr>
            <w:r w:rsidRPr="00955618">
              <w:rPr>
                <w:rFonts w:ascii="Arial" w:hAnsi="Arial" w:cs="Arial"/>
                <w:bCs/>
                <w:color w:val="000000" w:themeColor="text1"/>
                <w:sz w:val="22"/>
              </w:rPr>
              <w:t>2.6.1</w:t>
            </w:r>
          </w:p>
        </w:tc>
        <w:tc>
          <w:tcPr>
            <w:tcW w:w="1633" w:type="dxa"/>
            <w:vMerge w:val="restart"/>
          </w:tcPr>
          <w:p w14:paraId="7E7CDCB8" w14:textId="4DC7BC3B" w:rsidR="004260EB" w:rsidRPr="00955618" w:rsidRDefault="004260EB" w:rsidP="00A2290B">
            <w:pPr>
              <w:jc w:val="center"/>
              <w:rPr>
                <w:rFonts w:ascii="Arial" w:hAnsi="Arial" w:cs="Arial"/>
                <w:color w:val="000000" w:themeColor="text1"/>
                <w:sz w:val="22"/>
              </w:rPr>
            </w:pPr>
          </w:p>
        </w:tc>
        <w:tc>
          <w:tcPr>
            <w:tcW w:w="5831" w:type="dxa"/>
            <w:vMerge w:val="restart"/>
          </w:tcPr>
          <w:p w14:paraId="22DEAC6B" w14:textId="125FDC10" w:rsidR="004260EB" w:rsidRPr="004D1CE4" w:rsidRDefault="004260EB" w:rsidP="007A5A9B">
            <w:pPr>
              <w:rPr>
                <w:rFonts w:ascii="Arial" w:hAnsi="Arial" w:cs="Arial"/>
                <w:i/>
                <w:color w:val="000000" w:themeColor="text1"/>
                <w:sz w:val="22"/>
              </w:rPr>
            </w:pPr>
            <w:r w:rsidRPr="004D1CE4">
              <w:rPr>
                <w:rFonts w:ascii="Arial" w:hAnsi="Arial" w:cs="Arial"/>
                <w:i/>
                <w:color w:val="000000" w:themeColor="text1"/>
                <w:sz w:val="22"/>
              </w:rPr>
              <w:t>Eine alleinige Abrechnung der Positionen 101,</w:t>
            </w:r>
            <w:r w:rsidR="008E6B17" w:rsidRPr="004D1CE4">
              <w:rPr>
                <w:rFonts w:ascii="Arial" w:hAnsi="Arial" w:cs="Arial"/>
                <w:i/>
                <w:color w:val="000000" w:themeColor="text1"/>
                <w:sz w:val="22"/>
              </w:rPr>
              <w:t xml:space="preserve"> </w:t>
            </w:r>
            <w:r w:rsidRPr="004D1CE4">
              <w:rPr>
                <w:rFonts w:ascii="Arial" w:hAnsi="Arial" w:cs="Arial"/>
                <w:i/>
                <w:color w:val="000000" w:themeColor="text1"/>
                <w:sz w:val="22"/>
              </w:rPr>
              <w:t xml:space="preserve">201, 0101 und 0201 ohne den dazugehörigen Patientenkontakt im gleichen Quartal ist nicht möglich. Eine erneute Abrechenbarkeit dieser Ziffern ist möglich im gleichen Quartal des Folgejahres. Hierbei wird nicht auf das Kalenderjahr, sondern auf das Quartal abgestellt. </w:t>
            </w:r>
          </w:p>
        </w:tc>
        <w:tc>
          <w:tcPr>
            <w:tcW w:w="2867" w:type="dxa"/>
            <w:vMerge w:val="restart"/>
          </w:tcPr>
          <w:p w14:paraId="538937AC" w14:textId="5E3FB5C5" w:rsidR="004260EB" w:rsidRPr="00955618" w:rsidRDefault="004260EB" w:rsidP="00A2290B">
            <w:pPr>
              <w:rPr>
                <w:rFonts w:ascii="Arial" w:hAnsi="Arial" w:cs="Arial"/>
                <w:color w:val="000000" w:themeColor="text1"/>
                <w:sz w:val="22"/>
              </w:rPr>
            </w:pPr>
            <w:r w:rsidRPr="00955618">
              <w:rPr>
                <w:rFonts w:ascii="Arial" w:hAnsi="Arial" w:cs="Arial"/>
                <w:color w:val="000000" w:themeColor="text1"/>
                <w:sz w:val="22"/>
              </w:rPr>
              <w:t xml:space="preserve">Auch Pkt. </w:t>
            </w:r>
            <w:r w:rsidR="007D63A9">
              <w:rPr>
                <w:rFonts w:ascii="Arial" w:hAnsi="Arial" w:cs="Arial"/>
                <w:color w:val="000000" w:themeColor="text1"/>
                <w:sz w:val="22"/>
              </w:rPr>
              <w:t>2.6.2</w:t>
            </w:r>
          </w:p>
          <w:p w14:paraId="5229A12B" w14:textId="77777777" w:rsidR="004260EB" w:rsidRPr="00955618" w:rsidRDefault="004260EB" w:rsidP="00A2290B">
            <w:pPr>
              <w:rPr>
                <w:rFonts w:ascii="Arial" w:hAnsi="Arial" w:cs="Arial"/>
                <w:color w:val="000000" w:themeColor="text1"/>
                <w:sz w:val="22"/>
              </w:rPr>
            </w:pPr>
            <w:r w:rsidRPr="00955618">
              <w:rPr>
                <w:rFonts w:ascii="Arial" w:hAnsi="Arial" w:cs="Arial"/>
                <w:color w:val="000000" w:themeColor="text1"/>
                <w:sz w:val="22"/>
              </w:rPr>
              <w:t xml:space="preserve">AmBADO – </w:t>
            </w:r>
          </w:p>
          <w:p w14:paraId="2218C6BD" w14:textId="77777777" w:rsidR="004260EB" w:rsidRPr="00955618" w:rsidRDefault="004260EB" w:rsidP="00A2290B">
            <w:pPr>
              <w:rPr>
                <w:rFonts w:ascii="Arial" w:hAnsi="Arial" w:cs="Arial"/>
                <w:color w:val="000000" w:themeColor="text1"/>
                <w:sz w:val="22"/>
              </w:rPr>
            </w:pPr>
            <w:r w:rsidRPr="00955618">
              <w:rPr>
                <w:rFonts w:ascii="Arial" w:hAnsi="Arial" w:cs="Arial"/>
                <w:color w:val="000000" w:themeColor="text1"/>
                <w:sz w:val="22"/>
              </w:rPr>
              <w:t>Datenerhebung</w:t>
            </w:r>
          </w:p>
          <w:p w14:paraId="2B8D0B84" w14:textId="77777777" w:rsidR="004260EB" w:rsidRPr="00955618" w:rsidRDefault="004260EB" w:rsidP="00A2290B">
            <w:pPr>
              <w:ind w:right="-311"/>
              <w:rPr>
                <w:rFonts w:ascii="Arial" w:hAnsi="Arial" w:cs="Arial"/>
                <w:color w:val="000000" w:themeColor="text1"/>
                <w:sz w:val="22"/>
              </w:rPr>
            </w:pPr>
            <w:r w:rsidRPr="00955618">
              <w:rPr>
                <w:rFonts w:ascii="Arial" w:hAnsi="Arial" w:cs="Arial"/>
                <w:color w:val="000000" w:themeColor="text1"/>
                <w:sz w:val="22"/>
              </w:rPr>
              <w:t>beachten</w:t>
            </w:r>
          </w:p>
        </w:tc>
        <w:tc>
          <w:tcPr>
            <w:tcW w:w="1357" w:type="dxa"/>
            <w:tcBorders>
              <w:bottom w:val="nil"/>
            </w:tcBorders>
          </w:tcPr>
          <w:p w14:paraId="5CFF8C09" w14:textId="0F78ED3C" w:rsidR="004260EB" w:rsidRPr="00955618" w:rsidRDefault="00603128" w:rsidP="00A2290B">
            <w:pPr>
              <w:rPr>
                <w:rFonts w:ascii="Arial" w:hAnsi="Arial" w:cs="Arial"/>
                <w:color w:val="000000" w:themeColor="text1"/>
                <w:sz w:val="22"/>
              </w:rPr>
            </w:pPr>
            <w:r>
              <w:rPr>
                <w:rFonts w:ascii="Arial" w:hAnsi="Arial" w:cs="Arial"/>
                <w:color w:val="000000" w:themeColor="text1"/>
                <w:sz w:val="22"/>
              </w:rPr>
              <w:t>Soweit nichts ergänzt wird in dieser Spalte, immer Geltung ab 01.09.2021</w:t>
            </w:r>
          </w:p>
        </w:tc>
      </w:tr>
      <w:tr w:rsidR="001739DE" w:rsidRPr="00955618" w14:paraId="0E10E75D" w14:textId="77777777" w:rsidTr="004D1CE4">
        <w:trPr>
          <w:trHeight w:val="47"/>
        </w:trPr>
        <w:tc>
          <w:tcPr>
            <w:tcW w:w="3049" w:type="dxa"/>
            <w:vMerge/>
          </w:tcPr>
          <w:p w14:paraId="3084178C" w14:textId="77777777" w:rsidR="004260EB" w:rsidRPr="00955618" w:rsidRDefault="004260EB" w:rsidP="004260EB">
            <w:pPr>
              <w:rPr>
                <w:color w:val="000000" w:themeColor="text1"/>
              </w:rPr>
            </w:pPr>
          </w:p>
        </w:tc>
        <w:tc>
          <w:tcPr>
            <w:tcW w:w="1633" w:type="dxa"/>
            <w:vMerge/>
          </w:tcPr>
          <w:p w14:paraId="56882F66" w14:textId="77777777" w:rsidR="004260EB" w:rsidRPr="00955618" w:rsidRDefault="004260EB" w:rsidP="004260EB">
            <w:pPr>
              <w:jc w:val="center"/>
              <w:rPr>
                <w:rFonts w:ascii="Arial" w:hAnsi="Arial" w:cs="Arial"/>
                <w:color w:val="000000" w:themeColor="text1"/>
                <w:sz w:val="22"/>
              </w:rPr>
            </w:pPr>
          </w:p>
        </w:tc>
        <w:tc>
          <w:tcPr>
            <w:tcW w:w="5831" w:type="dxa"/>
            <w:vMerge/>
          </w:tcPr>
          <w:p w14:paraId="418F3837" w14:textId="77777777" w:rsidR="004260EB" w:rsidRPr="00955618" w:rsidRDefault="004260EB" w:rsidP="004260EB">
            <w:pPr>
              <w:rPr>
                <w:rFonts w:ascii="Arial" w:hAnsi="Arial" w:cs="Arial"/>
                <w:color w:val="000000" w:themeColor="text1"/>
                <w:sz w:val="22"/>
              </w:rPr>
            </w:pPr>
          </w:p>
        </w:tc>
        <w:tc>
          <w:tcPr>
            <w:tcW w:w="2867" w:type="dxa"/>
            <w:vMerge/>
          </w:tcPr>
          <w:p w14:paraId="2E6C7FDB" w14:textId="77777777" w:rsidR="004260EB" w:rsidRPr="00955618" w:rsidRDefault="004260EB" w:rsidP="004260EB">
            <w:pPr>
              <w:rPr>
                <w:rFonts w:ascii="Arial" w:hAnsi="Arial" w:cs="Arial"/>
                <w:color w:val="000000" w:themeColor="text1"/>
                <w:sz w:val="22"/>
              </w:rPr>
            </w:pPr>
          </w:p>
        </w:tc>
        <w:tc>
          <w:tcPr>
            <w:tcW w:w="1357" w:type="dxa"/>
            <w:tcBorders>
              <w:top w:val="nil"/>
            </w:tcBorders>
          </w:tcPr>
          <w:p w14:paraId="1371C14A" w14:textId="77777777" w:rsidR="004260EB" w:rsidRPr="00955618" w:rsidRDefault="004260EB" w:rsidP="004260EB">
            <w:pPr>
              <w:rPr>
                <w:rFonts w:ascii="Arial" w:hAnsi="Arial" w:cs="Arial"/>
                <w:color w:val="000000" w:themeColor="text1"/>
                <w:sz w:val="22"/>
              </w:rPr>
            </w:pPr>
          </w:p>
        </w:tc>
      </w:tr>
      <w:tr w:rsidR="001739DE" w:rsidRPr="00955618" w14:paraId="605605AE" w14:textId="77777777" w:rsidTr="004D1CE4">
        <w:trPr>
          <w:trHeight w:val="1701"/>
        </w:trPr>
        <w:tc>
          <w:tcPr>
            <w:tcW w:w="3049" w:type="dxa"/>
          </w:tcPr>
          <w:p w14:paraId="39888618" w14:textId="77777777" w:rsidR="004260EB" w:rsidRPr="00B86D33" w:rsidRDefault="004260EB" w:rsidP="00B86D33">
            <w:pPr>
              <w:pStyle w:val="berschrift1"/>
              <w:spacing w:before="0"/>
              <w:rPr>
                <w:rFonts w:ascii="Arial" w:eastAsia="Times New Roman" w:hAnsi="Arial" w:cs="Arial"/>
                <w:sz w:val="22"/>
                <w:szCs w:val="24"/>
              </w:rPr>
            </w:pPr>
            <w:r w:rsidRPr="00B86D33">
              <w:rPr>
                <w:rFonts w:ascii="Arial" w:eastAsia="Times New Roman" w:hAnsi="Arial" w:cs="Arial"/>
                <w:sz w:val="22"/>
                <w:szCs w:val="24"/>
              </w:rPr>
              <w:t>AmBADO – Datenerhebung</w:t>
            </w:r>
          </w:p>
          <w:p w14:paraId="458D201C" w14:textId="77777777" w:rsidR="004260EB" w:rsidRPr="00B86D33" w:rsidRDefault="004260EB" w:rsidP="00B86D33">
            <w:pPr>
              <w:rPr>
                <w:rFonts w:ascii="Arial" w:hAnsi="Arial" w:cs="Arial"/>
                <w:color w:val="000000" w:themeColor="text1"/>
                <w:sz w:val="22"/>
              </w:rPr>
            </w:pPr>
            <w:r w:rsidRPr="00B86D33">
              <w:rPr>
                <w:rFonts w:ascii="Arial" w:hAnsi="Arial" w:cs="Arial"/>
                <w:bCs/>
                <w:color w:val="000000" w:themeColor="text1"/>
                <w:sz w:val="22"/>
              </w:rPr>
              <w:t>2.6.2</w:t>
            </w:r>
          </w:p>
        </w:tc>
        <w:tc>
          <w:tcPr>
            <w:tcW w:w="1633" w:type="dxa"/>
          </w:tcPr>
          <w:p w14:paraId="4FCE8392" w14:textId="1D05A9B8" w:rsidR="004260EB" w:rsidRPr="00955618" w:rsidRDefault="004260EB" w:rsidP="004260EB">
            <w:pPr>
              <w:jc w:val="center"/>
              <w:rPr>
                <w:rFonts w:ascii="Arial" w:hAnsi="Arial" w:cs="Arial"/>
                <w:color w:val="000000" w:themeColor="text1"/>
                <w:sz w:val="22"/>
              </w:rPr>
            </w:pPr>
          </w:p>
        </w:tc>
        <w:tc>
          <w:tcPr>
            <w:tcW w:w="5831" w:type="dxa"/>
          </w:tcPr>
          <w:p w14:paraId="7C214C73" w14:textId="15E7AA89" w:rsidR="004260EB" w:rsidRPr="00955618" w:rsidRDefault="004260EB" w:rsidP="00EF5A40">
            <w:pPr>
              <w:rPr>
                <w:rFonts w:ascii="Arial" w:hAnsi="Arial" w:cs="Arial"/>
                <w:color w:val="000000" w:themeColor="text1"/>
                <w:sz w:val="22"/>
              </w:rPr>
            </w:pPr>
            <w:r w:rsidRPr="00EF3B81">
              <w:rPr>
                <w:rFonts w:ascii="Arial" w:hAnsi="Arial" w:cs="Arial"/>
                <w:i/>
                <w:color w:val="000000" w:themeColor="text1"/>
                <w:sz w:val="22"/>
              </w:rPr>
              <w:t>Die Positionen 101, 201, 0101 und 0201 sind nur dann abrechnungsfähig, wenn sie von einem ärztlichen/psychologischen Mitarbeiter erbracht worden sind. Wird die Erhebung der AmBADO-Daten z. B. von einer Pflegekraft vorgenommen, muss diese immer mit ärztlicher oder psychologischer Beteiligung erfolgen.</w:t>
            </w:r>
          </w:p>
        </w:tc>
        <w:tc>
          <w:tcPr>
            <w:tcW w:w="2867" w:type="dxa"/>
          </w:tcPr>
          <w:p w14:paraId="247ECD1E" w14:textId="54AA0986" w:rsidR="004260EB" w:rsidRPr="00955618" w:rsidRDefault="004260EB" w:rsidP="004260EB">
            <w:pPr>
              <w:rPr>
                <w:rFonts w:ascii="Arial" w:hAnsi="Arial" w:cs="Arial"/>
                <w:color w:val="000000" w:themeColor="text1"/>
                <w:sz w:val="22"/>
              </w:rPr>
            </w:pPr>
            <w:r w:rsidRPr="00955618">
              <w:rPr>
                <w:rFonts w:ascii="Arial" w:hAnsi="Arial" w:cs="Arial"/>
                <w:color w:val="000000" w:themeColor="text1"/>
                <w:sz w:val="22"/>
              </w:rPr>
              <w:t xml:space="preserve">Auch Pkt. </w:t>
            </w:r>
            <w:r w:rsidR="007D63A9">
              <w:rPr>
                <w:rFonts w:ascii="Arial" w:hAnsi="Arial" w:cs="Arial"/>
                <w:color w:val="000000" w:themeColor="text1"/>
                <w:sz w:val="22"/>
              </w:rPr>
              <w:t>2.6.1</w:t>
            </w:r>
          </w:p>
          <w:p w14:paraId="3849358B" w14:textId="578943AF" w:rsidR="004260EB" w:rsidRPr="00955618" w:rsidRDefault="004260EB" w:rsidP="004260EB">
            <w:pPr>
              <w:rPr>
                <w:rFonts w:ascii="Arial" w:hAnsi="Arial" w:cs="Arial"/>
                <w:color w:val="000000" w:themeColor="text1"/>
                <w:sz w:val="22"/>
              </w:rPr>
            </w:pPr>
            <w:r w:rsidRPr="00955618">
              <w:rPr>
                <w:rFonts w:ascii="Arial" w:hAnsi="Arial" w:cs="Arial"/>
                <w:color w:val="000000" w:themeColor="text1"/>
                <w:sz w:val="22"/>
              </w:rPr>
              <w:t>AmBADO-Ziffern – Abrechenbarkeit</w:t>
            </w:r>
          </w:p>
          <w:p w14:paraId="6B97F1E1" w14:textId="77777777" w:rsidR="004260EB" w:rsidRPr="00955618" w:rsidRDefault="004260EB" w:rsidP="004260EB">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Pr>
          <w:p w14:paraId="3F274384" w14:textId="77777777" w:rsidR="004260EB" w:rsidRPr="00955618" w:rsidRDefault="004260EB" w:rsidP="004260EB">
            <w:pPr>
              <w:rPr>
                <w:rFonts w:ascii="Arial" w:hAnsi="Arial" w:cs="Arial"/>
                <w:color w:val="000000" w:themeColor="text1"/>
                <w:sz w:val="22"/>
              </w:rPr>
            </w:pPr>
          </w:p>
        </w:tc>
      </w:tr>
      <w:tr w:rsidR="001739DE" w:rsidRPr="00955618" w14:paraId="45BE2375" w14:textId="77777777" w:rsidTr="004D1CE4">
        <w:trPr>
          <w:trHeight w:val="2539"/>
        </w:trPr>
        <w:tc>
          <w:tcPr>
            <w:tcW w:w="3049" w:type="dxa"/>
          </w:tcPr>
          <w:p w14:paraId="5F24BF2C" w14:textId="77777777" w:rsidR="004260EB" w:rsidRPr="00955618" w:rsidRDefault="004260EB" w:rsidP="004260EB">
            <w:pPr>
              <w:rPr>
                <w:rFonts w:ascii="Arial" w:hAnsi="Arial" w:cs="Arial"/>
                <w:b/>
                <w:bCs/>
                <w:color w:val="000000" w:themeColor="text1"/>
                <w:sz w:val="22"/>
              </w:rPr>
            </w:pPr>
            <w:r w:rsidRPr="00955618">
              <w:rPr>
                <w:rFonts w:ascii="Arial" w:hAnsi="Arial" w:cs="Arial"/>
                <w:b/>
                <w:bCs/>
                <w:color w:val="000000" w:themeColor="text1"/>
                <w:sz w:val="22"/>
              </w:rPr>
              <w:t>Apparative Diagnostik und Therapie</w:t>
            </w:r>
          </w:p>
          <w:p w14:paraId="1FC6E875" w14:textId="77777777" w:rsidR="004260EB" w:rsidRPr="00955618" w:rsidRDefault="004260EB" w:rsidP="004260EB">
            <w:pPr>
              <w:rPr>
                <w:rFonts w:ascii="Arial" w:hAnsi="Arial" w:cs="Arial"/>
                <w:bCs/>
                <w:color w:val="000000" w:themeColor="text1"/>
                <w:sz w:val="22"/>
              </w:rPr>
            </w:pPr>
            <w:r w:rsidRPr="00955618">
              <w:rPr>
                <w:rFonts w:ascii="Arial" w:hAnsi="Arial" w:cs="Arial"/>
                <w:bCs/>
                <w:color w:val="000000" w:themeColor="text1"/>
                <w:sz w:val="22"/>
              </w:rPr>
              <w:t>2.2.1</w:t>
            </w:r>
          </w:p>
        </w:tc>
        <w:tc>
          <w:tcPr>
            <w:tcW w:w="1633" w:type="dxa"/>
          </w:tcPr>
          <w:p w14:paraId="588ECCE5" w14:textId="44A66622" w:rsidR="004260EB" w:rsidRPr="00955618" w:rsidRDefault="004D1CE4" w:rsidP="004260EB">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795750D8" w14:textId="77777777" w:rsidR="004260EB" w:rsidRPr="00955618" w:rsidRDefault="004260EB" w:rsidP="004260EB">
            <w:pPr>
              <w:pStyle w:val="Textkrper3"/>
              <w:rPr>
                <w:color w:val="000000" w:themeColor="text1"/>
              </w:rPr>
            </w:pPr>
            <w:r w:rsidRPr="00955618">
              <w:rPr>
                <w:color w:val="000000" w:themeColor="text1"/>
              </w:rPr>
              <w:t>Der Zeitansatz für die Gebührenziffer ist für den reinen Personalaufwand gedacht und nicht für die Gerätelaufzeit.</w:t>
            </w:r>
          </w:p>
          <w:p w14:paraId="25C55EA3" w14:textId="5F243BA5" w:rsidR="004260EB" w:rsidRPr="00955618" w:rsidRDefault="004260EB" w:rsidP="00CF1E59">
            <w:pPr>
              <w:rPr>
                <w:rFonts w:ascii="Arial" w:hAnsi="Arial" w:cs="Arial"/>
                <w:color w:val="000000" w:themeColor="text1"/>
                <w:sz w:val="22"/>
              </w:rPr>
            </w:pPr>
            <w:r w:rsidRPr="00955618">
              <w:rPr>
                <w:rFonts w:ascii="Arial" w:hAnsi="Arial" w:cs="Arial"/>
                <w:color w:val="000000" w:themeColor="text1"/>
                <w:sz w:val="22"/>
              </w:rPr>
              <w:t xml:space="preserve">Die Ziffern aus dem Bereich 77x sind ggf. mehrfach an einem Tag berechenbar. </w:t>
            </w:r>
            <w:r w:rsidR="00CF1E59">
              <w:rPr>
                <w:rFonts w:ascii="Arial" w:hAnsi="Arial" w:cs="Arial"/>
                <w:color w:val="000000" w:themeColor="text1"/>
                <w:sz w:val="22"/>
              </w:rPr>
              <w:t>F</w:t>
            </w:r>
            <w:r w:rsidRPr="00955618">
              <w:rPr>
                <w:rFonts w:ascii="Arial" w:hAnsi="Arial" w:cs="Arial"/>
                <w:color w:val="000000" w:themeColor="text1"/>
                <w:sz w:val="22"/>
              </w:rPr>
              <w:t xml:space="preserve">ür ein EKG </w:t>
            </w:r>
            <w:r w:rsidR="008E6B17">
              <w:rPr>
                <w:rFonts w:ascii="Arial" w:hAnsi="Arial" w:cs="Arial"/>
                <w:color w:val="000000" w:themeColor="text1"/>
                <w:sz w:val="22"/>
              </w:rPr>
              <w:t xml:space="preserve">ist </w:t>
            </w:r>
            <w:r w:rsidRPr="00955618">
              <w:rPr>
                <w:rFonts w:ascii="Arial" w:hAnsi="Arial" w:cs="Arial"/>
                <w:color w:val="000000" w:themeColor="text1"/>
                <w:sz w:val="22"/>
              </w:rPr>
              <w:t>die Ziffer 771 und für ein EEG die Ziffer 773 abzurechnen.</w:t>
            </w:r>
          </w:p>
        </w:tc>
        <w:tc>
          <w:tcPr>
            <w:tcW w:w="2867" w:type="dxa"/>
          </w:tcPr>
          <w:p w14:paraId="1FCC69E9" w14:textId="77777777" w:rsidR="004260EB" w:rsidRPr="00955618" w:rsidRDefault="004260EB" w:rsidP="004260EB">
            <w:pPr>
              <w:rPr>
                <w:rFonts w:ascii="Arial" w:hAnsi="Arial" w:cs="Arial"/>
                <w:color w:val="000000" w:themeColor="text1"/>
                <w:sz w:val="22"/>
              </w:rPr>
            </w:pPr>
          </w:p>
        </w:tc>
        <w:tc>
          <w:tcPr>
            <w:tcW w:w="1357" w:type="dxa"/>
          </w:tcPr>
          <w:p w14:paraId="0007C932" w14:textId="77777777" w:rsidR="004260EB" w:rsidRPr="00955618" w:rsidRDefault="004260EB" w:rsidP="004260EB">
            <w:pPr>
              <w:rPr>
                <w:rFonts w:ascii="Arial" w:hAnsi="Arial" w:cs="Arial"/>
                <w:color w:val="000000" w:themeColor="text1"/>
                <w:sz w:val="22"/>
              </w:rPr>
            </w:pPr>
          </w:p>
        </w:tc>
      </w:tr>
      <w:tr w:rsidR="001739DE" w:rsidRPr="00955618" w14:paraId="016DF5F5" w14:textId="77777777" w:rsidTr="004D1CE4">
        <w:trPr>
          <w:trHeight w:val="9781"/>
        </w:trPr>
        <w:tc>
          <w:tcPr>
            <w:tcW w:w="3049" w:type="dxa"/>
          </w:tcPr>
          <w:p w14:paraId="02E0D141" w14:textId="77777777" w:rsidR="00D459C7" w:rsidRPr="00D459C7" w:rsidRDefault="00D459C7" w:rsidP="00D459C7">
            <w:pPr>
              <w:rPr>
                <w:rFonts w:asciiTheme="minorHAnsi" w:hAnsiTheme="minorHAnsi" w:cstheme="minorHAnsi"/>
                <w:b/>
                <w:bCs/>
                <w:color w:val="000000" w:themeColor="text1"/>
                <w:sz w:val="22"/>
                <w:szCs w:val="22"/>
              </w:rPr>
            </w:pPr>
            <w:r w:rsidRPr="00D459C7">
              <w:rPr>
                <w:rFonts w:asciiTheme="minorHAnsi" w:hAnsiTheme="minorHAnsi" w:cstheme="minorHAnsi"/>
                <w:b/>
                <w:bCs/>
                <w:color w:val="000000" w:themeColor="text1"/>
                <w:sz w:val="22"/>
                <w:szCs w:val="22"/>
              </w:rPr>
              <w:lastRenderedPageBreak/>
              <w:t>Arbeitsdiagnostik</w:t>
            </w:r>
          </w:p>
          <w:p w14:paraId="799D7C73" w14:textId="05C864E9" w:rsidR="00D459C7" w:rsidRPr="00D459C7" w:rsidRDefault="00D459C7" w:rsidP="00D459C7">
            <w:pPr>
              <w:rPr>
                <w:rFonts w:asciiTheme="minorHAnsi" w:hAnsiTheme="minorHAnsi" w:cstheme="minorHAnsi"/>
                <w:b/>
                <w:bCs/>
                <w:color w:val="000000" w:themeColor="text1"/>
                <w:sz w:val="22"/>
                <w:szCs w:val="22"/>
              </w:rPr>
            </w:pPr>
            <w:bookmarkStart w:id="0" w:name="Arbeitsdiagnostik"/>
            <w:r w:rsidRPr="00D459C7">
              <w:rPr>
                <w:rFonts w:asciiTheme="minorHAnsi" w:hAnsiTheme="minorHAnsi" w:cstheme="minorHAnsi"/>
                <w:bCs/>
                <w:color w:val="000000" w:themeColor="text1"/>
                <w:sz w:val="22"/>
                <w:szCs w:val="22"/>
              </w:rPr>
              <w:t>2.1.17</w:t>
            </w:r>
            <w:bookmarkEnd w:id="0"/>
          </w:p>
        </w:tc>
        <w:tc>
          <w:tcPr>
            <w:tcW w:w="1633" w:type="dxa"/>
          </w:tcPr>
          <w:p w14:paraId="29BC2F7B" w14:textId="108DCE2C" w:rsidR="00D459C7" w:rsidRPr="00D459C7" w:rsidRDefault="007D63A9" w:rsidP="00D459C7">
            <w:pPr>
              <w:jc w:val="center"/>
              <w:rPr>
                <w:rFonts w:asciiTheme="minorHAnsi" w:hAnsiTheme="minorHAnsi" w:cstheme="minorHAnsi"/>
                <w:color w:val="000000" w:themeColor="text1"/>
                <w:sz w:val="22"/>
                <w:szCs w:val="22"/>
              </w:rPr>
            </w:pPr>
            <w:r w:rsidRPr="007D63A9">
              <w:rPr>
                <w:rFonts w:asciiTheme="minorHAnsi" w:hAnsiTheme="minorHAnsi" w:cstheme="minorHAnsi"/>
                <w:color w:val="000000" w:themeColor="text1"/>
                <w:sz w:val="22"/>
                <w:szCs w:val="22"/>
              </w:rPr>
              <w:t xml:space="preserve">01.09.2021 </w:t>
            </w:r>
          </w:p>
        </w:tc>
        <w:tc>
          <w:tcPr>
            <w:tcW w:w="5831" w:type="dxa"/>
          </w:tcPr>
          <w:p w14:paraId="4D20A8DC" w14:textId="2AA4AE3C"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In Fällen, in denen eine Arbeitsunfähigkeit aufgrund desjenigen Krankheitsbildes besteht, das die Behandlung in der </w:t>
            </w:r>
            <w:r w:rsidR="00AB5363">
              <w:rPr>
                <w:rFonts w:asciiTheme="minorHAnsi" w:hAnsiTheme="minorHAnsi" w:cstheme="minorHAnsi"/>
                <w:sz w:val="22"/>
                <w:szCs w:val="22"/>
              </w:rPr>
              <w:t>Institutsambulanz</w:t>
            </w:r>
            <w:r w:rsidR="00AB5363" w:rsidRPr="00D459C7">
              <w:rPr>
                <w:rFonts w:asciiTheme="minorHAnsi" w:hAnsiTheme="minorHAnsi" w:cstheme="minorHAnsi"/>
                <w:sz w:val="22"/>
                <w:szCs w:val="22"/>
              </w:rPr>
              <w:t xml:space="preserve"> </w:t>
            </w:r>
            <w:r w:rsidRPr="00D459C7">
              <w:rPr>
                <w:rFonts w:asciiTheme="minorHAnsi" w:hAnsiTheme="minorHAnsi" w:cstheme="minorHAnsi"/>
                <w:sz w:val="22"/>
                <w:szCs w:val="22"/>
              </w:rPr>
              <w:t>begründet, kann frühestens nach 3 Monaten Dauer der Arbeitsunfähigkeit, zur qualifizierten Einschätzung der weiteren Arbeitsfähigkeit ein kombiniertes Assessment (Arbeitsdiagnostik) eingesetzt werden.</w:t>
            </w:r>
          </w:p>
          <w:p w14:paraId="78FAEA2B" w14:textId="77777777" w:rsidR="00D459C7" w:rsidRPr="00D459C7" w:rsidRDefault="00D459C7" w:rsidP="00D459C7">
            <w:pPr>
              <w:rPr>
                <w:rFonts w:asciiTheme="minorHAnsi" w:hAnsiTheme="minorHAnsi" w:cstheme="minorHAnsi"/>
                <w:sz w:val="22"/>
                <w:szCs w:val="22"/>
              </w:rPr>
            </w:pPr>
          </w:p>
          <w:p w14:paraId="4CF66330" w14:textId="77777777"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Dabei können folgende Bausteine zum Tragen kommen:</w:t>
            </w:r>
          </w:p>
          <w:p w14:paraId="2348141D" w14:textId="77777777" w:rsidR="00D459C7" w:rsidRPr="00D459C7" w:rsidRDefault="00D459C7" w:rsidP="00D459C7">
            <w:pPr>
              <w:pStyle w:val="Listenabsatz"/>
              <w:numPr>
                <w:ilvl w:val="0"/>
                <w:numId w:val="13"/>
              </w:numPr>
              <w:rPr>
                <w:rFonts w:asciiTheme="minorHAnsi" w:hAnsiTheme="minorHAnsi" w:cstheme="minorHAnsi"/>
              </w:rPr>
            </w:pPr>
            <w:r w:rsidRPr="00D459C7">
              <w:rPr>
                <w:rFonts w:asciiTheme="minorHAnsi" w:hAnsiTheme="minorHAnsi" w:cstheme="minorHAnsi"/>
              </w:rPr>
              <w:t>Psychologische Diagnostik (persönlich und/oder gerätegestützt als Einzelkontakt bis maximal 2 Stunden)</w:t>
            </w:r>
          </w:p>
          <w:p w14:paraId="1F3850B0" w14:textId="77777777" w:rsidR="00D459C7" w:rsidRPr="00D459C7" w:rsidRDefault="00D459C7" w:rsidP="00D459C7">
            <w:pPr>
              <w:pStyle w:val="Listenabsatz"/>
              <w:numPr>
                <w:ilvl w:val="0"/>
                <w:numId w:val="13"/>
              </w:numPr>
              <w:rPr>
                <w:rFonts w:asciiTheme="minorHAnsi" w:hAnsiTheme="minorHAnsi" w:cstheme="minorHAnsi"/>
              </w:rPr>
            </w:pPr>
            <w:r w:rsidRPr="00D459C7">
              <w:rPr>
                <w:rFonts w:asciiTheme="minorHAnsi" w:hAnsiTheme="minorHAnsi" w:cstheme="minorHAnsi"/>
              </w:rPr>
              <w:t>Ergotherapeutische Diagnostik (im Einzelkontakt bis maximal 5 Stunden und als Gruppenanwendung bis maximal 10 Stunden)</w:t>
            </w:r>
          </w:p>
          <w:p w14:paraId="4E7C3399" w14:textId="77777777" w:rsidR="00D459C7" w:rsidRPr="00D459C7" w:rsidRDefault="00D459C7" w:rsidP="00D459C7">
            <w:pPr>
              <w:pStyle w:val="Listenabsatz"/>
              <w:numPr>
                <w:ilvl w:val="0"/>
                <w:numId w:val="13"/>
              </w:numPr>
              <w:rPr>
                <w:rFonts w:asciiTheme="minorHAnsi" w:hAnsiTheme="minorHAnsi" w:cstheme="minorHAnsi"/>
              </w:rPr>
            </w:pPr>
            <w:r w:rsidRPr="00D459C7">
              <w:rPr>
                <w:rFonts w:asciiTheme="minorHAnsi" w:hAnsiTheme="minorHAnsi" w:cstheme="minorHAnsi"/>
              </w:rPr>
              <w:t>Teambesprechung zwischen Arzt, Psychologen und Ergotherapeuten</w:t>
            </w:r>
          </w:p>
          <w:p w14:paraId="0DD44F40" w14:textId="77777777" w:rsidR="00D459C7" w:rsidRPr="00D459C7" w:rsidRDefault="00D459C7" w:rsidP="00D459C7">
            <w:pPr>
              <w:rPr>
                <w:rFonts w:asciiTheme="minorHAnsi" w:hAnsiTheme="minorHAnsi" w:cstheme="minorHAnsi"/>
                <w:sz w:val="22"/>
                <w:szCs w:val="22"/>
              </w:rPr>
            </w:pPr>
          </w:p>
          <w:p w14:paraId="33764425" w14:textId="24F0F57C" w:rsidR="00D459C7" w:rsidRPr="00D459C7" w:rsidRDefault="00D459C7" w:rsidP="00D459C7">
            <w:pPr>
              <w:pStyle w:val="Textkrper3"/>
              <w:rPr>
                <w:rFonts w:asciiTheme="minorHAnsi" w:hAnsiTheme="minorHAnsi" w:cstheme="minorHAnsi"/>
                <w:color w:val="000000" w:themeColor="text1"/>
                <w:szCs w:val="22"/>
              </w:rPr>
            </w:pPr>
            <w:r w:rsidRPr="00D459C7">
              <w:rPr>
                <w:rFonts w:asciiTheme="minorHAnsi" w:hAnsiTheme="minorHAnsi" w:cstheme="minorHAnsi"/>
                <w:szCs w:val="22"/>
              </w:rPr>
              <w:t>Die Arbeitsdiagnostik ist bei gegebener Indikation frühestens nach 6 Monaten wiederholbar.</w:t>
            </w:r>
          </w:p>
        </w:tc>
        <w:tc>
          <w:tcPr>
            <w:tcW w:w="2867" w:type="dxa"/>
          </w:tcPr>
          <w:p w14:paraId="5B211DB3" w14:textId="77777777" w:rsidR="00D459C7" w:rsidRPr="00955618" w:rsidRDefault="00D459C7" w:rsidP="00D459C7">
            <w:pPr>
              <w:rPr>
                <w:rFonts w:ascii="Arial" w:hAnsi="Arial" w:cs="Arial"/>
                <w:color w:val="000000" w:themeColor="text1"/>
                <w:sz w:val="22"/>
              </w:rPr>
            </w:pPr>
          </w:p>
        </w:tc>
        <w:tc>
          <w:tcPr>
            <w:tcW w:w="1357" w:type="dxa"/>
          </w:tcPr>
          <w:p w14:paraId="207D4933" w14:textId="77777777" w:rsidR="00D459C7" w:rsidRPr="00955618" w:rsidRDefault="00D459C7" w:rsidP="00D459C7">
            <w:pPr>
              <w:rPr>
                <w:rFonts w:ascii="Arial" w:hAnsi="Arial" w:cs="Arial"/>
                <w:color w:val="000000" w:themeColor="text1"/>
                <w:sz w:val="22"/>
              </w:rPr>
            </w:pPr>
          </w:p>
        </w:tc>
      </w:tr>
      <w:tr w:rsidR="001739DE" w:rsidRPr="00955618" w14:paraId="7CC2021F" w14:textId="77777777" w:rsidTr="004D1CE4">
        <w:trPr>
          <w:trHeight w:val="9781"/>
        </w:trPr>
        <w:tc>
          <w:tcPr>
            <w:tcW w:w="3049" w:type="dxa"/>
          </w:tcPr>
          <w:p w14:paraId="2A63245C"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Arzneimittelverordnung mit ärztlichem Patientenkontakt</w:t>
            </w:r>
          </w:p>
          <w:p w14:paraId="3876B144"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2.1.13</w:t>
            </w:r>
          </w:p>
        </w:tc>
        <w:tc>
          <w:tcPr>
            <w:tcW w:w="1633" w:type="dxa"/>
          </w:tcPr>
          <w:p w14:paraId="6452D039" w14:textId="76A9B040"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580B17B0" w14:textId="77777777" w:rsidR="00D459C7" w:rsidRPr="00955618" w:rsidRDefault="00D459C7" w:rsidP="00D459C7">
            <w:pPr>
              <w:pStyle w:val="Textkrper3"/>
              <w:rPr>
                <w:color w:val="000000" w:themeColor="text1"/>
              </w:rPr>
            </w:pPr>
            <w:r w:rsidRPr="00955618">
              <w:rPr>
                <w:color w:val="000000" w:themeColor="text1"/>
              </w:rPr>
              <w:t>Bei jeder Verordnung von Arzneimitteln ist die Arzneimittelrichtlinie und das Wirtschaftlichkeitsgebot zu beachten.</w:t>
            </w:r>
          </w:p>
          <w:p w14:paraId="3C9893E1" w14:textId="77777777" w:rsidR="00D459C7" w:rsidRPr="00955618" w:rsidRDefault="00D459C7" w:rsidP="00D459C7">
            <w:pPr>
              <w:pStyle w:val="Textkrper3"/>
              <w:rPr>
                <w:color w:val="000000" w:themeColor="text1"/>
              </w:rPr>
            </w:pPr>
          </w:p>
          <w:p w14:paraId="446DE984" w14:textId="085DD377" w:rsidR="00D459C7" w:rsidRPr="00955618" w:rsidRDefault="00D459C7" w:rsidP="00D459C7">
            <w:pPr>
              <w:pStyle w:val="Textkrper3"/>
              <w:rPr>
                <w:color w:val="000000" w:themeColor="text1"/>
              </w:rPr>
            </w:pPr>
            <w:r w:rsidRPr="00955618">
              <w:rPr>
                <w:color w:val="000000" w:themeColor="text1"/>
              </w:rPr>
              <w:t>Das Ausstellen einer Arzneimittelverordnung im Rahmen eines ärztlichen Patientenkontaktes löst nicht die Abrechnung der Geb.-Ziff. 100 bzw.</w:t>
            </w:r>
            <w:r w:rsidR="00A8428F">
              <w:rPr>
                <w:color w:val="000000" w:themeColor="text1"/>
              </w:rPr>
              <w:t xml:space="preserve"> </w:t>
            </w:r>
            <w:r w:rsidRPr="00955618">
              <w:rPr>
                <w:color w:val="000000" w:themeColor="text1"/>
              </w:rPr>
              <w:t>0100 aus.</w:t>
            </w:r>
          </w:p>
          <w:p w14:paraId="47A4516F" w14:textId="77777777" w:rsidR="00D459C7" w:rsidRPr="00955618" w:rsidRDefault="00D459C7" w:rsidP="00D459C7">
            <w:pPr>
              <w:pStyle w:val="Textkrper3"/>
              <w:rPr>
                <w:color w:val="000000" w:themeColor="text1"/>
              </w:rPr>
            </w:pPr>
          </w:p>
          <w:p w14:paraId="05D4D90F" w14:textId="0C1116B7" w:rsidR="00D459C7" w:rsidRPr="00955618" w:rsidRDefault="00D459C7" w:rsidP="00D459C7">
            <w:pPr>
              <w:pStyle w:val="Textkrper3"/>
              <w:rPr>
                <w:color w:val="000000" w:themeColor="text1"/>
              </w:rPr>
            </w:pPr>
            <w:r w:rsidRPr="00955618">
              <w:rPr>
                <w:color w:val="000000" w:themeColor="text1"/>
              </w:rPr>
              <w:t>Vielmehr ist in diesem Fall der Inhalt des zu Grunde liegenden ärztlichen Patientenkontaktes zu dokumentieren und die gesamte Leistungszeit (Patientenkontakt und Rezepterstellung) gemäß Punkt 2.1.7 „Leistungsziffernsystematik“ in eine Gebührenziffer umzuwandeln.</w:t>
            </w:r>
          </w:p>
          <w:p w14:paraId="5197BDBC" w14:textId="77777777" w:rsidR="00D459C7" w:rsidRPr="00955618" w:rsidRDefault="00D459C7" w:rsidP="00D459C7">
            <w:pPr>
              <w:pStyle w:val="Textkrper3"/>
              <w:rPr>
                <w:color w:val="000000" w:themeColor="text1"/>
              </w:rPr>
            </w:pPr>
          </w:p>
          <w:p w14:paraId="4556B25C" w14:textId="77777777" w:rsidR="00D459C7" w:rsidRPr="00955618" w:rsidRDefault="00D459C7" w:rsidP="00D459C7">
            <w:pPr>
              <w:pStyle w:val="Textkrper3"/>
              <w:rPr>
                <w:color w:val="000000" w:themeColor="text1"/>
              </w:rPr>
            </w:pPr>
            <w:r w:rsidRPr="00955618">
              <w:rPr>
                <w:color w:val="000000" w:themeColor="text1"/>
              </w:rPr>
              <w:t>1. Ein gesonderter Dokumentationsnachweis zur Einhaltung der Pflichten, die sich aus § 8 Arzneimittelrichtlinie für die behandelnde Ärztin oder den behandelnden Arzt ergeben ist dabei nur zu führen für:</w:t>
            </w:r>
          </w:p>
          <w:p w14:paraId="2A053DD4" w14:textId="77777777" w:rsidR="00D459C7" w:rsidRPr="00955618" w:rsidRDefault="00D459C7" w:rsidP="00D459C7">
            <w:pPr>
              <w:pStyle w:val="Textkrper3"/>
              <w:rPr>
                <w:color w:val="000000" w:themeColor="text1"/>
              </w:rPr>
            </w:pPr>
            <w:r w:rsidRPr="00955618">
              <w:rPr>
                <w:color w:val="000000" w:themeColor="text1"/>
              </w:rPr>
              <w:t>1.1. Name des Medikaments, Dosierung und Packungsgröße</w:t>
            </w:r>
          </w:p>
          <w:p w14:paraId="2621AFA8" w14:textId="77777777" w:rsidR="00D459C7" w:rsidRPr="00955618" w:rsidRDefault="00D459C7" w:rsidP="00D459C7">
            <w:pPr>
              <w:pStyle w:val="Textkrper3"/>
              <w:rPr>
                <w:color w:val="000000" w:themeColor="text1"/>
              </w:rPr>
            </w:pPr>
            <w:r w:rsidRPr="00955618">
              <w:rPr>
                <w:color w:val="000000" w:themeColor="text1"/>
              </w:rPr>
              <w:t>(Beispiel: „Mirtazapin ratiopharm 15 mg, 0-0-0-1, 100 Stück“)</w:t>
            </w:r>
          </w:p>
          <w:p w14:paraId="755C7800" w14:textId="06A121EE" w:rsidR="00D459C7" w:rsidRPr="00955618" w:rsidRDefault="00D459C7" w:rsidP="00D459C7">
            <w:pPr>
              <w:pStyle w:val="Textkrper3"/>
              <w:rPr>
                <w:color w:val="000000" w:themeColor="text1"/>
              </w:rPr>
            </w:pPr>
            <w:r w:rsidRPr="00955618">
              <w:rPr>
                <w:color w:val="000000" w:themeColor="text1"/>
              </w:rPr>
              <w:t>1.2. Medizinische Begründung im Fall eines „Aut-idem“-Ausschlusses</w:t>
            </w:r>
          </w:p>
          <w:p w14:paraId="77748C23" w14:textId="77777777" w:rsidR="00D459C7" w:rsidRPr="00955618" w:rsidRDefault="00D459C7" w:rsidP="00D459C7">
            <w:pPr>
              <w:pStyle w:val="Textkrper3"/>
              <w:rPr>
                <w:color w:val="000000" w:themeColor="text1"/>
              </w:rPr>
            </w:pPr>
            <w:r w:rsidRPr="00955618">
              <w:rPr>
                <w:color w:val="000000" w:themeColor="text1"/>
              </w:rPr>
              <w:t>(Beispiel: „Unverträglichkeit von wirkstoffgleichen Arzneimitteln“</w:t>
            </w:r>
          </w:p>
          <w:p w14:paraId="4D310989" w14:textId="77777777" w:rsidR="00D459C7" w:rsidRPr="00955618" w:rsidRDefault="00D459C7" w:rsidP="00D459C7">
            <w:pPr>
              <w:pStyle w:val="Textkrper3"/>
              <w:rPr>
                <w:color w:val="000000" w:themeColor="text1"/>
              </w:rPr>
            </w:pPr>
          </w:p>
          <w:p w14:paraId="6D47991E" w14:textId="6E9F6AD2" w:rsidR="00D459C7" w:rsidRPr="00955618" w:rsidRDefault="00D459C7" w:rsidP="00D459C7">
            <w:pPr>
              <w:pStyle w:val="Textkrper3"/>
              <w:rPr>
                <w:color w:val="000000" w:themeColor="text1"/>
              </w:rPr>
            </w:pPr>
            <w:r w:rsidRPr="00955618">
              <w:rPr>
                <w:color w:val="000000" w:themeColor="text1"/>
              </w:rPr>
              <w:t>2. Falls im Behandlungsverlauf eines Patienten daneben auch die Gebührenziffer 100 bzw. 0100 zur Abrechnung gelangt, sollte bei diesem Patienten auch beim Ausstellen einer Arzneimittelverordnung im Rahmen eines ärztlichen Patientenkontaktes der Verordnungsabstand dokumentiert und bei Änderungen der Medi</w:t>
            </w:r>
            <w:r>
              <w:rPr>
                <w:color w:val="000000" w:themeColor="text1"/>
              </w:rPr>
              <w:t>kationsplan aktualisiert werden</w:t>
            </w:r>
            <w:r w:rsidR="00F97186">
              <w:rPr>
                <w:color w:val="000000" w:themeColor="text1"/>
              </w:rPr>
              <w:t>.</w:t>
            </w:r>
          </w:p>
        </w:tc>
        <w:tc>
          <w:tcPr>
            <w:tcW w:w="2867" w:type="dxa"/>
          </w:tcPr>
          <w:p w14:paraId="6ECA179F" w14:textId="77777777" w:rsidR="00D459C7" w:rsidRPr="00955618" w:rsidRDefault="00D459C7" w:rsidP="00D459C7">
            <w:pPr>
              <w:rPr>
                <w:rFonts w:ascii="Arial" w:hAnsi="Arial" w:cs="Arial"/>
                <w:color w:val="000000" w:themeColor="text1"/>
                <w:sz w:val="22"/>
              </w:rPr>
            </w:pPr>
          </w:p>
          <w:p w14:paraId="59F91530" w14:textId="77777777" w:rsidR="00D459C7" w:rsidRPr="00955618" w:rsidRDefault="00D459C7" w:rsidP="00D459C7">
            <w:pPr>
              <w:rPr>
                <w:rFonts w:ascii="Arial" w:hAnsi="Arial" w:cs="Arial"/>
                <w:color w:val="000000" w:themeColor="text1"/>
                <w:sz w:val="22"/>
              </w:rPr>
            </w:pPr>
          </w:p>
          <w:p w14:paraId="43AEB7F7" w14:textId="77777777" w:rsidR="00D459C7" w:rsidRPr="00955618" w:rsidRDefault="00D459C7" w:rsidP="00D459C7">
            <w:pPr>
              <w:rPr>
                <w:rFonts w:ascii="Arial" w:hAnsi="Arial" w:cs="Arial"/>
                <w:color w:val="000000" w:themeColor="text1"/>
                <w:sz w:val="22"/>
              </w:rPr>
            </w:pPr>
          </w:p>
          <w:p w14:paraId="20D45D4B" w14:textId="77777777" w:rsidR="00D459C7" w:rsidRPr="00955618" w:rsidRDefault="00D459C7" w:rsidP="00D459C7">
            <w:pPr>
              <w:rPr>
                <w:rFonts w:ascii="Arial" w:hAnsi="Arial" w:cs="Arial"/>
                <w:color w:val="000000" w:themeColor="text1"/>
                <w:sz w:val="22"/>
              </w:rPr>
            </w:pPr>
          </w:p>
          <w:p w14:paraId="0E0BC291" w14:textId="77777777" w:rsidR="00D459C7" w:rsidRPr="00955618" w:rsidRDefault="00D459C7" w:rsidP="00D459C7">
            <w:pPr>
              <w:rPr>
                <w:rFonts w:ascii="Arial" w:hAnsi="Arial" w:cs="Arial"/>
                <w:color w:val="000000" w:themeColor="text1"/>
                <w:sz w:val="22"/>
              </w:rPr>
            </w:pPr>
          </w:p>
          <w:p w14:paraId="7433F09E" w14:textId="77777777" w:rsidR="00D459C7" w:rsidRPr="00955618" w:rsidRDefault="00D459C7" w:rsidP="00D459C7">
            <w:pPr>
              <w:rPr>
                <w:rFonts w:ascii="Arial" w:hAnsi="Arial" w:cs="Arial"/>
                <w:color w:val="000000" w:themeColor="text1"/>
                <w:sz w:val="22"/>
              </w:rPr>
            </w:pPr>
          </w:p>
          <w:p w14:paraId="07A2C33B" w14:textId="77777777" w:rsidR="00D459C7" w:rsidRPr="00955618" w:rsidRDefault="00D459C7" w:rsidP="00D459C7">
            <w:pPr>
              <w:rPr>
                <w:rFonts w:ascii="Arial" w:hAnsi="Arial" w:cs="Arial"/>
                <w:color w:val="000000" w:themeColor="text1"/>
                <w:sz w:val="22"/>
              </w:rPr>
            </w:pPr>
          </w:p>
          <w:p w14:paraId="0A285C38" w14:textId="07BE8B42"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Siehe auch </w:t>
            </w:r>
            <w:r w:rsidR="00BA4388">
              <w:rPr>
                <w:rFonts w:ascii="Arial" w:hAnsi="Arial" w:cs="Arial"/>
                <w:color w:val="000000" w:themeColor="text1"/>
                <w:sz w:val="22"/>
              </w:rPr>
              <w:t xml:space="preserve">Punkt </w:t>
            </w:r>
            <w:r w:rsidRPr="00955618">
              <w:rPr>
                <w:rFonts w:ascii="Arial" w:hAnsi="Arial" w:cs="Arial"/>
                <w:color w:val="000000" w:themeColor="text1"/>
                <w:sz w:val="22"/>
              </w:rPr>
              <w:t>2.1.7 „Leistungsziffernsystematik</w:t>
            </w:r>
            <w:r w:rsidRPr="004260EB">
              <w:rPr>
                <w:rFonts w:ascii="Arial" w:hAnsi="Arial" w:cs="Arial"/>
                <w:color w:val="000000" w:themeColor="text1"/>
                <w:sz w:val="22"/>
              </w:rPr>
              <w:t>“</w:t>
            </w:r>
          </w:p>
        </w:tc>
        <w:tc>
          <w:tcPr>
            <w:tcW w:w="1357" w:type="dxa"/>
          </w:tcPr>
          <w:p w14:paraId="49668325" w14:textId="427C214C" w:rsidR="00D459C7" w:rsidRPr="00955618" w:rsidRDefault="00D459C7" w:rsidP="00D459C7">
            <w:pPr>
              <w:rPr>
                <w:rFonts w:ascii="Arial" w:hAnsi="Arial" w:cs="Arial"/>
                <w:color w:val="000000" w:themeColor="text1"/>
                <w:sz w:val="22"/>
              </w:rPr>
            </w:pPr>
          </w:p>
        </w:tc>
      </w:tr>
      <w:tr w:rsidR="001739DE" w:rsidRPr="00955618" w14:paraId="3D69A896" w14:textId="77777777" w:rsidTr="004D1CE4">
        <w:trPr>
          <w:trHeight w:val="844"/>
        </w:trPr>
        <w:tc>
          <w:tcPr>
            <w:tcW w:w="3049" w:type="dxa"/>
          </w:tcPr>
          <w:p w14:paraId="39D85DBE"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Arzneimittelverordnung ohne Patientenkontakt</w:t>
            </w:r>
          </w:p>
          <w:p w14:paraId="3C910CE1" w14:textId="77777777" w:rsidR="00D459C7" w:rsidRPr="00955618" w:rsidRDefault="00D459C7" w:rsidP="00D459C7">
            <w:pPr>
              <w:rPr>
                <w:rFonts w:ascii="Arial" w:hAnsi="Arial" w:cs="Arial"/>
                <w:b/>
                <w:bCs/>
                <w:color w:val="000000" w:themeColor="text1"/>
                <w:sz w:val="22"/>
              </w:rPr>
            </w:pPr>
            <w:r w:rsidRPr="00955618">
              <w:rPr>
                <w:rFonts w:ascii="Arial" w:hAnsi="Arial" w:cs="Arial"/>
                <w:bCs/>
                <w:color w:val="000000" w:themeColor="text1"/>
                <w:sz w:val="22"/>
              </w:rPr>
              <w:t>2.1.12</w:t>
            </w:r>
          </w:p>
        </w:tc>
        <w:tc>
          <w:tcPr>
            <w:tcW w:w="1633" w:type="dxa"/>
          </w:tcPr>
          <w:p w14:paraId="7935DC42" w14:textId="0F249C1A"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24FC65E" w14:textId="77777777" w:rsidR="00D459C7" w:rsidRPr="00955618" w:rsidRDefault="00D459C7" w:rsidP="00D459C7">
            <w:pPr>
              <w:pStyle w:val="Textkrper3"/>
              <w:rPr>
                <w:color w:val="000000" w:themeColor="text1"/>
              </w:rPr>
            </w:pPr>
            <w:r w:rsidRPr="00955618">
              <w:rPr>
                <w:color w:val="000000" w:themeColor="text1"/>
              </w:rPr>
              <w:t xml:space="preserve">Bei jeder Verordnung von Arzneimitteln ist die Arzneimittelrichtlinie und das Wirtschaftlichkeitsgebot zu beachten. </w:t>
            </w:r>
          </w:p>
          <w:p w14:paraId="6979B752" w14:textId="77777777" w:rsidR="00D459C7" w:rsidRPr="00955618" w:rsidRDefault="00D459C7" w:rsidP="00D459C7">
            <w:pPr>
              <w:pStyle w:val="Textkrper3"/>
              <w:rPr>
                <w:color w:val="000000" w:themeColor="text1"/>
              </w:rPr>
            </w:pPr>
          </w:p>
          <w:p w14:paraId="7D7AC750" w14:textId="77777777" w:rsidR="00D459C7" w:rsidRPr="00955618" w:rsidRDefault="00D459C7" w:rsidP="00D459C7">
            <w:pPr>
              <w:pStyle w:val="Textkrper3"/>
              <w:rPr>
                <w:color w:val="000000" w:themeColor="text1"/>
              </w:rPr>
            </w:pPr>
            <w:r w:rsidRPr="00955618">
              <w:rPr>
                <w:color w:val="000000" w:themeColor="text1"/>
              </w:rPr>
              <w:t>Aber nicht jede Verordnung von Arzneimitteln löst eine Abrechnung aus. Nach der Anforderung einer Arzneimittelverordnung durch den Patienten oder einen durch ihn bevollmächtigten Dritten berechtigt das Ausstellen einer Arzneimittelverordnung ohne ärztlichen Patientenkontakt nur dann zur Abrechnung der Geb.-Ziff. 100 bzw.0100, wenn folgende Voraussetzungen erfüllt sind (qualifizierte Arzneimittelverordnung):</w:t>
            </w:r>
          </w:p>
          <w:p w14:paraId="6A3D31EF" w14:textId="77777777" w:rsidR="00D459C7" w:rsidRPr="00955618" w:rsidRDefault="00D459C7" w:rsidP="00D459C7">
            <w:pPr>
              <w:pStyle w:val="Textkrper3"/>
              <w:rPr>
                <w:color w:val="000000" w:themeColor="text1"/>
              </w:rPr>
            </w:pPr>
          </w:p>
          <w:p w14:paraId="48B190FD" w14:textId="77777777" w:rsidR="00D459C7" w:rsidRPr="00955618" w:rsidRDefault="00D459C7" w:rsidP="00D459C7">
            <w:pPr>
              <w:pStyle w:val="Textkrper3"/>
              <w:rPr>
                <w:color w:val="000000" w:themeColor="text1"/>
              </w:rPr>
            </w:pPr>
            <w:r w:rsidRPr="00955618">
              <w:rPr>
                <w:color w:val="000000" w:themeColor="text1"/>
              </w:rPr>
              <w:t>1. Dokumentationsnachweis zur Einhaltung der Pflichten, die sich aus § 8 Arzneimittelrichtlinie für die behandelnde Ärztin oder den behandelnden Arzt ergeben:</w:t>
            </w:r>
          </w:p>
          <w:p w14:paraId="5F141AB7" w14:textId="77777777" w:rsidR="00D459C7" w:rsidRPr="00955618" w:rsidRDefault="00D459C7" w:rsidP="00D459C7">
            <w:pPr>
              <w:pStyle w:val="Textkrper3"/>
              <w:rPr>
                <w:color w:val="000000" w:themeColor="text1"/>
              </w:rPr>
            </w:pPr>
            <w:r w:rsidRPr="00955618">
              <w:rPr>
                <w:color w:val="000000" w:themeColor="text1"/>
              </w:rPr>
              <w:t>1.1. Name des Medikaments, Dosierung und Packungsgröße</w:t>
            </w:r>
          </w:p>
          <w:p w14:paraId="2151D266" w14:textId="77777777" w:rsidR="00D459C7" w:rsidRPr="00955618" w:rsidRDefault="00D459C7" w:rsidP="00D459C7">
            <w:pPr>
              <w:pStyle w:val="Textkrper3"/>
              <w:rPr>
                <w:color w:val="000000" w:themeColor="text1"/>
              </w:rPr>
            </w:pPr>
            <w:r w:rsidRPr="00955618">
              <w:rPr>
                <w:color w:val="000000" w:themeColor="text1"/>
              </w:rPr>
              <w:t>(Beispiel: „Mirtazapin ratiopharm 15 mg, 0-0-0-1, 100 Stück“)</w:t>
            </w:r>
          </w:p>
          <w:p w14:paraId="5B014674" w14:textId="77777777" w:rsidR="00D459C7" w:rsidRPr="00955618" w:rsidRDefault="00D459C7" w:rsidP="00D459C7">
            <w:pPr>
              <w:pStyle w:val="Textkrper3"/>
              <w:rPr>
                <w:color w:val="000000" w:themeColor="text1"/>
              </w:rPr>
            </w:pPr>
            <w:r w:rsidRPr="00955618">
              <w:rPr>
                <w:color w:val="000000" w:themeColor="text1"/>
              </w:rPr>
              <w:t>1.2. Indikation</w:t>
            </w:r>
          </w:p>
          <w:p w14:paraId="5AF8C135" w14:textId="77777777" w:rsidR="00D459C7" w:rsidRPr="00955618" w:rsidRDefault="00D459C7" w:rsidP="00D459C7">
            <w:pPr>
              <w:pStyle w:val="Textkrper3"/>
              <w:rPr>
                <w:color w:val="000000" w:themeColor="text1"/>
              </w:rPr>
            </w:pPr>
            <w:r w:rsidRPr="00955618">
              <w:rPr>
                <w:color w:val="000000" w:themeColor="text1"/>
              </w:rPr>
              <w:t>(Beispiel: „F32.2“)</w:t>
            </w:r>
          </w:p>
          <w:p w14:paraId="1418EBC4" w14:textId="77777777" w:rsidR="00D459C7" w:rsidRPr="00955618" w:rsidRDefault="00D459C7" w:rsidP="00D459C7">
            <w:pPr>
              <w:pStyle w:val="Textkrper3"/>
              <w:rPr>
                <w:color w:val="000000" w:themeColor="text1"/>
              </w:rPr>
            </w:pPr>
            <w:r w:rsidRPr="00955618">
              <w:rPr>
                <w:color w:val="000000" w:themeColor="text1"/>
              </w:rPr>
              <w:t>1.3. Notwendigkeit</w:t>
            </w:r>
          </w:p>
          <w:p w14:paraId="1B198C0E" w14:textId="77777777" w:rsidR="00D459C7" w:rsidRPr="00955618" w:rsidRDefault="00D459C7" w:rsidP="00D459C7">
            <w:pPr>
              <w:pStyle w:val="Textkrper3"/>
              <w:rPr>
                <w:color w:val="000000" w:themeColor="text1"/>
              </w:rPr>
            </w:pPr>
            <w:r w:rsidRPr="00955618">
              <w:rPr>
                <w:color w:val="000000" w:themeColor="text1"/>
              </w:rPr>
              <w:t>(Beispiel: „schwere Symptomatik“, „PT nicht ausreichend“, „Erhaltungstherapie“, o.ä.)</w:t>
            </w:r>
          </w:p>
          <w:p w14:paraId="3E1EC45C" w14:textId="77777777" w:rsidR="00D459C7" w:rsidRPr="00955618" w:rsidRDefault="00D459C7" w:rsidP="00D459C7">
            <w:pPr>
              <w:pStyle w:val="Textkrper3"/>
              <w:rPr>
                <w:color w:val="000000" w:themeColor="text1"/>
              </w:rPr>
            </w:pPr>
            <w:r w:rsidRPr="00955618">
              <w:rPr>
                <w:color w:val="000000" w:themeColor="text1"/>
              </w:rPr>
              <w:t>1.4. Verträglichkeit</w:t>
            </w:r>
          </w:p>
          <w:p w14:paraId="3D5FDE01" w14:textId="77777777" w:rsidR="00D459C7" w:rsidRPr="00955618" w:rsidRDefault="00D459C7" w:rsidP="00D459C7">
            <w:pPr>
              <w:pStyle w:val="Textkrper3"/>
              <w:rPr>
                <w:color w:val="000000" w:themeColor="text1"/>
              </w:rPr>
            </w:pPr>
            <w:r w:rsidRPr="00955618">
              <w:rPr>
                <w:color w:val="000000" w:themeColor="text1"/>
              </w:rPr>
              <w:t>(Beispiel: „keine UAW“, „leichte Sedierung“, „GOT-Anstieg?“, o.ä.)</w:t>
            </w:r>
          </w:p>
          <w:p w14:paraId="21D4AB60" w14:textId="77777777" w:rsidR="00D459C7" w:rsidRPr="00955618" w:rsidRDefault="00D459C7" w:rsidP="00D459C7">
            <w:pPr>
              <w:pStyle w:val="Textkrper3"/>
              <w:rPr>
                <w:color w:val="000000" w:themeColor="text1"/>
              </w:rPr>
            </w:pPr>
            <w:r w:rsidRPr="00955618">
              <w:rPr>
                <w:color w:val="000000" w:themeColor="text1"/>
              </w:rPr>
              <w:t>1.5. Verordnungsabstand</w:t>
            </w:r>
          </w:p>
          <w:p w14:paraId="76BF41A3" w14:textId="74D1DF70" w:rsidR="00D459C7" w:rsidRPr="00955618" w:rsidRDefault="00D459C7" w:rsidP="00D459C7">
            <w:pPr>
              <w:pStyle w:val="Textkrper3"/>
              <w:rPr>
                <w:color w:val="000000" w:themeColor="text1"/>
              </w:rPr>
            </w:pPr>
            <w:r w:rsidRPr="00955618">
              <w:rPr>
                <w:color w:val="000000" w:themeColor="text1"/>
              </w:rPr>
              <w:t>(Beispiel: (reicht bis) „25.11.19“)</w:t>
            </w:r>
          </w:p>
          <w:p w14:paraId="2245FA29" w14:textId="77777777" w:rsidR="00D459C7" w:rsidRPr="00955618" w:rsidRDefault="00D459C7" w:rsidP="00D459C7">
            <w:pPr>
              <w:pStyle w:val="Textkrper3"/>
              <w:rPr>
                <w:color w:val="000000" w:themeColor="text1"/>
              </w:rPr>
            </w:pPr>
            <w:r w:rsidRPr="00955618">
              <w:rPr>
                <w:color w:val="000000" w:themeColor="text1"/>
              </w:rPr>
              <w:t>1.6. Medizinische Begründung im Fall eines „Aut-idem“-Ausschlusses</w:t>
            </w:r>
          </w:p>
          <w:p w14:paraId="719AB8C1" w14:textId="65A7317E" w:rsidR="00D459C7" w:rsidRPr="00955618" w:rsidRDefault="00D459C7" w:rsidP="00D459C7">
            <w:pPr>
              <w:pStyle w:val="Textkrper3"/>
              <w:rPr>
                <w:color w:val="000000" w:themeColor="text1"/>
              </w:rPr>
            </w:pPr>
            <w:r w:rsidRPr="00955618">
              <w:rPr>
                <w:color w:val="000000" w:themeColor="text1"/>
              </w:rPr>
              <w:t>(Beispiel: „Unverträglichkeit von wirkstoffgleichen Arzneimitteln“</w:t>
            </w:r>
            <w:r w:rsidR="00F97186">
              <w:rPr>
                <w:color w:val="000000" w:themeColor="text1"/>
              </w:rPr>
              <w:t>)</w:t>
            </w:r>
          </w:p>
          <w:p w14:paraId="57AEB75A" w14:textId="3275D448" w:rsidR="00D459C7" w:rsidRPr="00955618" w:rsidRDefault="00D459C7" w:rsidP="00D459C7">
            <w:pPr>
              <w:pStyle w:val="Textkrper3"/>
              <w:rPr>
                <w:color w:val="000000" w:themeColor="text1"/>
              </w:rPr>
            </w:pPr>
            <w:r w:rsidRPr="00955618">
              <w:rPr>
                <w:color w:val="000000" w:themeColor="text1"/>
              </w:rPr>
              <w:t>1.7. Die Dokumentation hat durch die behandelnde Ärztin / den behandelnden Arzt zu erfolgen oder ist im Fall einer teilweisen Zuarbeit durch MFA durch die behandelnde Ärztin / den behandelnden Arzt freizugeben und zu verantworten.</w:t>
            </w:r>
          </w:p>
          <w:p w14:paraId="64BCDF9E" w14:textId="77777777" w:rsidR="00D459C7" w:rsidRPr="00955618" w:rsidRDefault="00D459C7" w:rsidP="00D459C7">
            <w:pPr>
              <w:pStyle w:val="Textkrper3"/>
              <w:rPr>
                <w:color w:val="000000" w:themeColor="text1"/>
              </w:rPr>
            </w:pPr>
          </w:p>
          <w:p w14:paraId="3CDBAE21" w14:textId="6D5DAD17" w:rsidR="00D459C7" w:rsidRPr="00955618" w:rsidRDefault="00D459C7" w:rsidP="00D459C7">
            <w:pPr>
              <w:pStyle w:val="Textkrper3"/>
              <w:rPr>
                <w:color w:val="000000" w:themeColor="text1"/>
              </w:rPr>
            </w:pPr>
            <w:r w:rsidRPr="00955618">
              <w:rPr>
                <w:color w:val="000000" w:themeColor="text1"/>
              </w:rPr>
              <w:lastRenderedPageBreak/>
              <w:t>2. Die Abrechnung der Geb.-Ziff. 100 bzw.0100 setzt das Vorhandensein eines aktuellen Medikationsplans voraus. Dabei kann es sich entweder um den bundesweit einheitlichen Medikationsplan oder um einen internen Medikationsplan</w:t>
            </w:r>
            <w:r>
              <w:rPr>
                <w:color w:val="000000" w:themeColor="text1"/>
              </w:rPr>
              <w:t xml:space="preserve"> der Institutsambulanz </w:t>
            </w:r>
            <w:r w:rsidRPr="00955618">
              <w:rPr>
                <w:color w:val="000000" w:themeColor="text1"/>
              </w:rPr>
              <w:t>handeln. In beiden Fällen gilt:</w:t>
            </w:r>
          </w:p>
          <w:p w14:paraId="52B3F9E2" w14:textId="3DC62A84" w:rsidR="00D459C7" w:rsidRPr="00955618" w:rsidRDefault="00D459C7" w:rsidP="00D459C7">
            <w:pPr>
              <w:pStyle w:val="Textkrper3"/>
              <w:rPr>
                <w:color w:val="000000" w:themeColor="text1"/>
              </w:rPr>
            </w:pPr>
            <w:r w:rsidRPr="00955618">
              <w:rPr>
                <w:color w:val="000000" w:themeColor="text1"/>
              </w:rPr>
              <w:t>2.1. Der Medikationsplan muss im Abrechnungsquartal zumindest einmal aktualisiert worden sein (auch wenn keine Änderungen eingetreten sind)</w:t>
            </w:r>
            <w:r>
              <w:rPr>
                <w:color w:val="000000" w:themeColor="text1"/>
              </w:rPr>
              <w:t>.</w:t>
            </w:r>
          </w:p>
          <w:p w14:paraId="5D864165" w14:textId="77777777" w:rsidR="00D459C7" w:rsidRPr="00955618" w:rsidRDefault="00D459C7" w:rsidP="00D459C7">
            <w:pPr>
              <w:pStyle w:val="Textkrper3"/>
              <w:rPr>
                <w:color w:val="000000" w:themeColor="text1"/>
              </w:rPr>
            </w:pPr>
            <w:r w:rsidRPr="00955618">
              <w:rPr>
                <w:color w:val="000000" w:themeColor="text1"/>
              </w:rPr>
              <w:t>2.2. Dies ist mittels datierter Abspeicherung oder Ausdruck zu belegen.</w:t>
            </w:r>
          </w:p>
          <w:p w14:paraId="0287A7EC" w14:textId="79C7D538" w:rsidR="00D459C7" w:rsidRPr="00955618" w:rsidRDefault="00D459C7" w:rsidP="00D459C7">
            <w:pPr>
              <w:pStyle w:val="Textkrper3"/>
              <w:rPr>
                <w:color w:val="000000" w:themeColor="text1"/>
              </w:rPr>
            </w:pPr>
            <w:r w:rsidRPr="00955618">
              <w:rPr>
                <w:color w:val="000000" w:themeColor="text1"/>
              </w:rPr>
              <w:t>2.3. Alle fachspezifischen Medikamente sind im Medikationsplan in übersichtlicher Form aufzuführen (z.B. in einer Datumsspalte)</w:t>
            </w:r>
            <w:r>
              <w:rPr>
                <w:color w:val="000000" w:themeColor="text1"/>
              </w:rPr>
              <w:t>.</w:t>
            </w:r>
          </w:p>
          <w:p w14:paraId="2941AF40" w14:textId="77777777" w:rsidR="00D459C7" w:rsidRPr="00955618" w:rsidRDefault="00D459C7" w:rsidP="00D459C7">
            <w:pPr>
              <w:pStyle w:val="Textkrper3"/>
              <w:rPr>
                <w:color w:val="000000" w:themeColor="text1"/>
              </w:rPr>
            </w:pPr>
          </w:p>
          <w:p w14:paraId="57ECEBAA" w14:textId="77777777" w:rsidR="00D459C7" w:rsidRPr="00955618" w:rsidRDefault="00D459C7" w:rsidP="00D459C7">
            <w:pPr>
              <w:pStyle w:val="Textkrper3"/>
              <w:rPr>
                <w:color w:val="000000" w:themeColor="text1"/>
              </w:rPr>
            </w:pPr>
            <w:r w:rsidRPr="00955618">
              <w:rPr>
                <w:color w:val="000000" w:themeColor="text1"/>
              </w:rPr>
              <w:t>3. Weitere Abrechnungsregeln:</w:t>
            </w:r>
          </w:p>
          <w:p w14:paraId="3719B931" w14:textId="5A22AB4E" w:rsidR="00D459C7" w:rsidRPr="004260EB" w:rsidRDefault="00D459C7" w:rsidP="00D459C7">
            <w:pPr>
              <w:pStyle w:val="Textkrper3"/>
              <w:rPr>
                <w:color w:val="000000" w:themeColor="text1"/>
              </w:rPr>
            </w:pPr>
            <w:r w:rsidRPr="00955618">
              <w:rPr>
                <w:color w:val="000000" w:themeColor="text1"/>
              </w:rPr>
              <w:t>3.1. Die Geb.-Ziff. 100 bzw.</w:t>
            </w:r>
            <w:r w:rsidR="00F97186">
              <w:rPr>
                <w:color w:val="000000" w:themeColor="text1"/>
              </w:rPr>
              <w:t xml:space="preserve"> </w:t>
            </w:r>
            <w:r w:rsidRPr="00955618">
              <w:rPr>
                <w:color w:val="000000" w:themeColor="text1"/>
              </w:rPr>
              <w:t xml:space="preserve">0100 ist </w:t>
            </w:r>
            <w:r w:rsidRPr="004260EB">
              <w:rPr>
                <w:color w:val="000000" w:themeColor="text1"/>
              </w:rPr>
              <w:t>am Tag einer ärztlichen Leistungserbringung oder an dem Tag, der dieser ärztlichen Leistungserbringung folgt, nicht abrechenbar.</w:t>
            </w:r>
          </w:p>
          <w:p w14:paraId="70E25DDF" w14:textId="00009C8D" w:rsidR="00D459C7" w:rsidRPr="00955618" w:rsidRDefault="00D459C7" w:rsidP="00D459C7">
            <w:pPr>
              <w:pStyle w:val="Textkrper3"/>
              <w:rPr>
                <w:color w:val="000000" w:themeColor="text1"/>
              </w:rPr>
            </w:pPr>
            <w:r w:rsidRPr="004260EB">
              <w:rPr>
                <w:color w:val="000000" w:themeColor="text1"/>
              </w:rPr>
              <w:t>3.2. Die Geb.-Ziff. 100 bzw.</w:t>
            </w:r>
            <w:r w:rsidR="00F97186">
              <w:rPr>
                <w:color w:val="000000" w:themeColor="text1"/>
              </w:rPr>
              <w:t xml:space="preserve"> </w:t>
            </w:r>
            <w:r w:rsidRPr="004260EB">
              <w:rPr>
                <w:color w:val="000000" w:themeColor="text1"/>
              </w:rPr>
              <w:t>0100 ist ohne weitere ärztliche Leistungserbringung im Quartal nicht an zwei aufeinanderfolgenden Quartalen abrechenbar</w:t>
            </w:r>
            <w:r w:rsidRPr="00955618">
              <w:rPr>
                <w:color w:val="000000" w:themeColor="text1"/>
              </w:rPr>
              <w:t>.</w:t>
            </w:r>
          </w:p>
          <w:p w14:paraId="3C9C7CE3" w14:textId="328285B8" w:rsidR="00D459C7" w:rsidRDefault="00D459C7" w:rsidP="00D459C7">
            <w:pPr>
              <w:rPr>
                <w:rFonts w:ascii="Arial" w:hAnsi="Arial" w:cs="Arial"/>
                <w:color w:val="000000" w:themeColor="text1"/>
                <w:sz w:val="22"/>
              </w:rPr>
            </w:pPr>
            <w:r w:rsidRPr="00955618">
              <w:rPr>
                <w:rFonts w:ascii="Arial" w:hAnsi="Arial" w:cs="Arial"/>
                <w:color w:val="000000" w:themeColor="text1"/>
                <w:sz w:val="22"/>
              </w:rPr>
              <w:t>3.3 Die Geb.-Ziff. 100 bzw.</w:t>
            </w:r>
            <w:r w:rsidR="00F97186">
              <w:rPr>
                <w:rFonts w:ascii="Arial" w:hAnsi="Arial" w:cs="Arial"/>
                <w:color w:val="000000" w:themeColor="text1"/>
                <w:sz w:val="22"/>
              </w:rPr>
              <w:t xml:space="preserve"> </w:t>
            </w:r>
            <w:r w:rsidRPr="00955618">
              <w:rPr>
                <w:rFonts w:ascii="Arial" w:hAnsi="Arial" w:cs="Arial"/>
                <w:color w:val="000000" w:themeColor="text1"/>
                <w:sz w:val="22"/>
              </w:rPr>
              <w:t>0100 dokumentiert definitionsgemäß keinen persönlichen Arzt-Patientenkontakt. Der Ansatz dieser Gebührenziffer ist daher auch per se nicht geeignet, die Durchführung von nicht-ärztlichen Leistungen zu legitim</w:t>
            </w:r>
            <w:r>
              <w:rPr>
                <w:rFonts w:ascii="Arial" w:hAnsi="Arial" w:cs="Arial"/>
                <w:color w:val="000000" w:themeColor="text1"/>
                <w:sz w:val="22"/>
              </w:rPr>
              <w:t>i</w:t>
            </w:r>
            <w:r w:rsidRPr="00955618">
              <w:rPr>
                <w:rFonts w:ascii="Arial" w:hAnsi="Arial" w:cs="Arial"/>
                <w:color w:val="000000" w:themeColor="text1"/>
                <w:sz w:val="22"/>
              </w:rPr>
              <w:t xml:space="preserve">eren. </w:t>
            </w:r>
          </w:p>
          <w:p w14:paraId="37382262" w14:textId="4A29B1F2" w:rsidR="00D459C7" w:rsidRPr="00955618" w:rsidRDefault="00D459C7" w:rsidP="00D459C7">
            <w:pPr>
              <w:rPr>
                <w:color w:val="000000" w:themeColor="text1"/>
              </w:rPr>
            </w:pPr>
          </w:p>
        </w:tc>
        <w:tc>
          <w:tcPr>
            <w:tcW w:w="2867" w:type="dxa"/>
          </w:tcPr>
          <w:p w14:paraId="7F8BD281" w14:textId="77777777" w:rsidR="00D459C7" w:rsidRPr="00955618" w:rsidRDefault="00D459C7" w:rsidP="00D459C7">
            <w:pPr>
              <w:rPr>
                <w:rFonts w:ascii="Arial" w:hAnsi="Arial" w:cs="Arial"/>
                <w:color w:val="000000" w:themeColor="text1"/>
                <w:sz w:val="22"/>
              </w:rPr>
            </w:pPr>
          </w:p>
          <w:p w14:paraId="321794F4" w14:textId="77777777" w:rsidR="00D459C7" w:rsidRPr="00955618" w:rsidRDefault="00D459C7" w:rsidP="00D459C7">
            <w:pPr>
              <w:rPr>
                <w:rFonts w:ascii="Arial" w:hAnsi="Arial" w:cs="Arial"/>
                <w:color w:val="000000" w:themeColor="text1"/>
                <w:sz w:val="22"/>
              </w:rPr>
            </w:pPr>
          </w:p>
          <w:p w14:paraId="4DBA124E" w14:textId="77777777" w:rsidR="00D459C7" w:rsidRPr="00955618" w:rsidRDefault="00D459C7" w:rsidP="00D459C7">
            <w:pPr>
              <w:rPr>
                <w:rFonts w:ascii="Arial" w:hAnsi="Arial" w:cs="Arial"/>
                <w:color w:val="000000" w:themeColor="text1"/>
                <w:sz w:val="22"/>
              </w:rPr>
            </w:pPr>
          </w:p>
          <w:p w14:paraId="765D26FB" w14:textId="77777777" w:rsidR="00D459C7" w:rsidRPr="00955618" w:rsidRDefault="00D459C7" w:rsidP="00D459C7">
            <w:pPr>
              <w:rPr>
                <w:rFonts w:ascii="Arial" w:hAnsi="Arial" w:cs="Arial"/>
                <w:color w:val="000000" w:themeColor="text1"/>
                <w:sz w:val="22"/>
              </w:rPr>
            </w:pPr>
          </w:p>
          <w:p w14:paraId="6EAD538E" w14:textId="77777777" w:rsidR="00D459C7" w:rsidRPr="00955618" w:rsidRDefault="00D459C7" w:rsidP="00D459C7">
            <w:pPr>
              <w:rPr>
                <w:rFonts w:ascii="Arial" w:hAnsi="Arial" w:cs="Arial"/>
                <w:color w:val="000000" w:themeColor="text1"/>
                <w:sz w:val="22"/>
              </w:rPr>
            </w:pPr>
          </w:p>
          <w:p w14:paraId="0A6B6FD7" w14:textId="77777777" w:rsidR="00D459C7" w:rsidRPr="00955618" w:rsidRDefault="00D459C7" w:rsidP="00D459C7">
            <w:pPr>
              <w:rPr>
                <w:rFonts w:ascii="Arial" w:hAnsi="Arial" w:cs="Arial"/>
                <w:color w:val="000000" w:themeColor="text1"/>
                <w:sz w:val="22"/>
              </w:rPr>
            </w:pPr>
          </w:p>
          <w:p w14:paraId="56AE4B51" w14:textId="77777777" w:rsidR="00D459C7" w:rsidRPr="00955618" w:rsidRDefault="00D459C7" w:rsidP="00D459C7">
            <w:pPr>
              <w:rPr>
                <w:rFonts w:ascii="Arial" w:hAnsi="Arial" w:cs="Arial"/>
                <w:color w:val="000000" w:themeColor="text1"/>
                <w:sz w:val="22"/>
              </w:rPr>
            </w:pPr>
          </w:p>
          <w:p w14:paraId="778C55D0" w14:textId="77777777" w:rsidR="00D459C7" w:rsidRPr="00955618" w:rsidRDefault="00D459C7" w:rsidP="00D459C7">
            <w:pPr>
              <w:rPr>
                <w:rFonts w:ascii="Arial" w:hAnsi="Arial" w:cs="Arial"/>
                <w:color w:val="000000" w:themeColor="text1"/>
                <w:sz w:val="22"/>
              </w:rPr>
            </w:pPr>
          </w:p>
          <w:p w14:paraId="5DC50246" w14:textId="77777777" w:rsidR="00D459C7" w:rsidRPr="00955618" w:rsidRDefault="00D459C7" w:rsidP="00D459C7">
            <w:pPr>
              <w:rPr>
                <w:rFonts w:ascii="Arial" w:hAnsi="Arial" w:cs="Arial"/>
                <w:color w:val="000000" w:themeColor="text1"/>
                <w:sz w:val="22"/>
              </w:rPr>
            </w:pPr>
          </w:p>
          <w:p w14:paraId="69F51F0E" w14:textId="77777777" w:rsidR="00D459C7" w:rsidRPr="00955618" w:rsidRDefault="00D459C7" w:rsidP="00D459C7">
            <w:pPr>
              <w:rPr>
                <w:rFonts w:ascii="Arial" w:hAnsi="Arial" w:cs="Arial"/>
                <w:color w:val="000000" w:themeColor="text1"/>
                <w:sz w:val="22"/>
              </w:rPr>
            </w:pPr>
          </w:p>
          <w:p w14:paraId="7BB53DF0" w14:textId="77777777" w:rsidR="00D459C7" w:rsidRPr="00955618" w:rsidRDefault="00D459C7" w:rsidP="00D459C7">
            <w:pPr>
              <w:rPr>
                <w:rFonts w:ascii="Arial" w:hAnsi="Arial" w:cs="Arial"/>
                <w:color w:val="000000" w:themeColor="text1"/>
                <w:sz w:val="22"/>
              </w:rPr>
            </w:pPr>
          </w:p>
          <w:p w14:paraId="731628EE" w14:textId="77777777" w:rsidR="00D459C7" w:rsidRPr="00955618" w:rsidRDefault="00D459C7" w:rsidP="00D459C7">
            <w:pPr>
              <w:rPr>
                <w:rFonts w:ascii="Arial" w:hAnsi="Arial" w:cs="Arial"/>
                <w:color w:val="000000" w:themeColor="text1"/>
                <w:sz w:val="22"/>
              </w:rPr>
            </w:pPr>
          </w:p>
          <w:p w14:paraId="342D1F55" w14:textId="77777777" w:rsidR="00D459C7" w:rsidRPr="00955618" w:rsidRDefault="00D459C7" w:rsidP="00D459C7">
            <w:pPr>
              <w:rPr>
                <w:rFonts w:ascii="Arial" w:hAnsi="Arial" w:cs="Arial"/>
                <w:color w:val="000000" w:themeColor="text1"/>
                <w:sz w:val="22"/>
              </w:rPr>
            </w:pPr>
          </w:p>
          <w:p w14:paraId="4217D6DF" w14:textId="77777777" w:rsidR="00D459C7" w:rsidRPr="00955618" w:rsidRDefault="00D459C7" w:rsidP="00D459C7">
            <w:pPr>
              <w:rPr>
                <w:rFonts w:ascii="Arial" w:hAnsi="Arial" w:cs="Arial"/>
                <w:color w:val="000000" w:themeColor="text1"/>
                <w:sz w:val="22"/>
              </w:rPr>
            </w:pPr>
          </w:p>
          <w:p w14:paraId="279AFE6F" w14:textId="77777777" w:rsidR="00D459C7" w:rsidRPr="00955618" w:rsidRDefault="00D459C7" w:rsidP="00D459C7">
            <w:pPr>
              <w:rPr>
                <w:rFonts w:ascii="Arial" w:hAnsi="Arial" w:cs="Arial"/>
                <w:color w:val="000000" w:themeColor="text1"/>
                <w:sz w:val="22"/>
              </w:rPr>
            </w:pPr>
          </w:p>
          <w:p w14:paraId="001F9E80" w14:textId="77777777" w:rsidR="00D459C7" w:rsidRPr="00955618" w:rsidRDefault="00D459C7" w:rsidP="00D459C7">
            <w:pPr>
              <w:rPr>
                <w:rFonts w:ascii="Arial" w:hAnsi="Arial" w:cs="Arial"/>
                <w:color w:val="000000" w:themeColor="text1"/>
                <w:sz w:val="22"/>
              </w:rPr>
            </w:pPr>
          </w:p>
          <w:p w14:paraId="5810547D" w14:textId="77777777" w:rsidR="00D459C7" w:rsidRPr="00955618" w:rsidRDefault="00D459C7" w:rsidP="00D459C7">
            <w:pPr>
              <w:rPr>
                <w:rFonts w:ascii="Arial" w:hAnsi="Arial" w:cs="Arial"/>
                <w:color w:val="000000" w:themeColor="text1"/>
                <w:sz w:val="22"/>
              </w:rPr>
            </w:pPr>
          </w:p>
          <w:p w14:paraId="05861DE6" w14:textId="77777777" w:rsidR="00D459C7" w:rsidRPr="00955618" w:rsidRDefault="00D459C7" w:rsidP="00D459C7">
            <w:pPr>
              <w:rPr>
                <w:rFonts w:ascii="Arial" w:hAnsi="Arial" w:cs="Arial"/>
                <w:color w:val="000000" w:themeColor="text1"/>
                <w:sz w:val="22"/>
              </w:rPr>
            </w:pPr>
          </w:p>
          <w:p w14:paraId="0535C44B" w14:textId="77777777" w:rsidR="00D459C7" w:rsidRPr="00955618" w:rsidRDefault="00D459C7" w:rsidP="00D459C7">
            <w:pPr>
              <w:rPr>
                <w:rFonts w:ascii="Arial" w:hAnsi="Arial" w:cs="Arial"/>
                <w:color w:val="000000" w:themeColor="text1"/>
                <w:sz w:val="22"/>
              </w:rPr>
            </w:pPr>
          </w:p>
          <w:p w14:paraId="7AB82C83" w14:textId="77777777" w:rsidR="00D459C7" w:rsidRPr="00955618" w:rsidRDefault="00D459C7" w:rsidP="00D459C7">
            <w:pPr>
              <w:rPr>
                <w:rFonts w:ascii="Arial" w:hAnsi="Arial" w:cs="Arial"/>
                <w:color w:val="000000" w:themeColor="text1"/>
                <w:sz w:val="22"/>
              </w:rPr>
            </w:pPr>
          </w:p>
          <w:p w14:paraId="0690916F" w14:textId="77777777" w:rsidR="00D459C7" w:rsidRPr="00955618" w:rsidRDefault="00D459C7" w:rsidP="00D459C7">
            <w:pPr>
              <w:rPr>
                <w:rFonts w:ascii="Arial" w:hAnsi="Arial" w:cs="Arial"/>
                <w:color w:val="000000" w:themeColor="text1"/>
                <w:sz w:val="22"/>
              </w:rPr>
            </w:pPr>
          </w:p>
          <w:p w14:paraId="7327FBE7" w14:textId="77777777" w:rsidR="00D459C7" w:rsidRPr="00955618" w:rsidRDefault="00D459C7" w:rsidP="00D459C7">
            <w:pPr>
              <w:rPr>
                <w:rFonts w:ascii="Arial" w:hAnsi="Arial" w:cs="Arial"/>
                <w:color w:val="000000" w:themeColor="text1"/>
                <w:sz w:val="22"/>
              </w:rPr>
            </w:pPr>
          </w:p>
          <w:p w14:paraId="5FF7D00A" w14:textId="77777777" w:rsidR="00D459C7" w:rsidRPr="00955618" w:rsidRDefault="00D459C7" w:rsidP="00D459C7">
            <w:pPr>
              <w:rPr>
                <w:rFonts w:ascii="Arial" w:hAnsi="Arial" w:cs="Arial"/>
                <w:color w:val="000000" w:themeColor="text1"/>
                <w:sz w:val="22"/>
              </w:rPr>
            </w:pPr>
          </w:p>
          <w:p w14:paraId="40F50B0A" w14:textId="77777777" w:rsidR="00D459C7" w:rsidRPr="00955618" w:rsidRDefault="00D459C7" w:rsidP="00D459C7">
            <w:pPr>
              <w:rPr>
                <w:rFonts w:ascii="Arial" w:hAnsi="Arial" w:cs="Arial"/>
                <w:color w:val="000000" w:themeColor="text1"/>
                <w:sz w:val="22"/>
              </w:rPr>
            </w:pPr>
          </w:p>
          <w:p w14:paraId="13B55EB2" w14:textId="77777777" w:rsidR="00D459C7" w:rsidRPr="00955618" w:rsidRDefault="00D459C7" w:rsidP="00D459C7">
            <w:pPr>
              <w:rPr>
                <w:rFonts w:ascii="Arial" w:hAnsi="Arial" w:cs="Arial"/>
                <w:color w:val="000000" w:themeColor="text1"/>
                <w:sz w:val="22"/>
              </w:rPr>
            </w:pPr>
          </w:p>
          <w:p w14:paraId="2FFE80E5" w14:textId="77777777" w:rsidR="00D459C7" w:rsidRPr="00955618" w:rsidRDefault="00D459C7" w:rsidP="00D459C7">
            <w:pPr>
              <w:rPr>
                <w:rFonts w:ascii="Arial" w:hAnsi="Arial" w:cs="Arial"/>
                <w:color w:val="000000" w:themeColor="text1"/>
                <w:sz w:val="22"/>
              </w:rPr>
            </w:pPr>
          </w:p>
          <w:p w14:paraId="51A3ADCD" w14:textId="77777777" w:rsidR="00D459C7" w:rsidRPr="00955618" w:rsidRDefault="00D459C7" w:rsidP="00D459C7">
            <w:pPr>
              <w:rPr>
                <w:rFonts w:ascii="Arial" w:hAnsi="Arial" w:cs="Arial"/>
                <w:color w:val="000000" w:themeColor="text1"/>
                <w:sz w:val="22"/>
              </w:rPr>
            </w:pPr>
          </w:p>
          <w:p w14:paraId="0F4F7ECC" w14:textId="77777777" w:rsidR="00D459C7" w:rsidRPr="00955618" w:rsidRDefault="00D459C7" w:rsidP="00D459C7">
            <w:pPr>
              <w:rPr>
                <w:rFonts w:ascii="Arial" w:hAnsi="Arial" w:cs="Arial"/>
                <w:color w:val="000000" w:themeColor="text1"/>
                <w:sz w:val="22"/>
              </w:rPr>
            </w:pPr>
          </w:p>
          <w:p w14:paraId="77C00C1B" w14:textId="77777777" w:rsidR="00D459C7" w:rsidRPr="00955618" w:rsidRDefault="00D459C7" w:rsidP="00D459C7">
            <w:pPr>
              <w:rPr>
                <w:rFonts w:ascii="Arial" w:hAnsi="Arial" w:cs="Arial"/>
                <w:color w:val="000000" w:themeColor="text1"/>
                <w:sz w:val="22"/>
              </w:rPr>
            </w:pPr>
          </w:p>
          <w:p w14:paraId="1D9D6A43" w14:textId="77777777" w:rsidR="00D459C7" w:rsidRPr="00955618" w:rsidRDefault="00D459C7" w:rsidP="00D459C7">
            <w:pPr>
              <w:rPr>
                <w:rFonts w:ascii="Arial" w:hAnsi="Arial" w:cs="Arial"/>
                <w:color w:val="000000" w:themeColor="text1"/>
                <w:sz w:val="22"/>
              </w:rPr>
            </w:pPr>
          </w:p>
          <w:p w14:paraId="3B0248F5" w14:textId="77777777" w:rsidR="00D459C7" w:rsidRPr="00955618" w:rsidRDefault="00D459C7" w:rsidP="00D459C7">
            <w:pPr>
              <w:rPr>
                <w:rFonts w:ascii="Arial" w:hAnsi="Arial" w:cs="Arial"/>
                <w:color w:val="000000" w:themeColor="text1"/>
                <w:sz w:val="22"/>
              </w:rPr>
            </w:pPr>
          </w:p>
          <w:p w14:paraId="61B5B6D1" w14:textId="77777777" w:rsidR="00D459C7" w:rsidRPr="00955618" w:rsidRDefault="00D459C7" w:rsidP="00D459C7">
            <w:pPr>
              <w:rPr>
                <w:rFonts w:ascii="Arial" w:hAnsi="Arial" w:cs="Arial"/>
                <w:color w:val="000000" w:themeColor="text1"/>
                <w:sz w:val="22"/>
              </w:rPr>
            </w:pPr>
          </w:p>
          <w:p w14:paraId="13336BA3" w14:textId="77777777" w:rsidR="00D459C7" w:rsidRPr="00955618" w:rsidRDefault="00D459C7" w:rsidP="00D459C7">
            <w:pPr>
              <w:rPr>
                <w:rFonts w:ascii="Arial" w:hAnsi="Arial" w:cs="Arial"/>
                <w:color w:val="000000" w:themeColor="text1"/>
                <w:sz w:val="22"/>
              </w:rPr>
            </w:pPr>
          </w:p>
          <w:p w14:paraId="36B4FB6C" w14:textId="77777777" w:rsidR="00D459C7" w:rsidRPr="00955618" w:rsidRDefault="00D459C7" w:rsidP="00D459C7">
            <w:pPr>
              <w:rPr>
                <w:rFonts w:ascii="Arial" w:hAnsi="Arial" w:cs="Arial"/>
                <w:color w:val="000000" w:themeColor="text1"/>
                <w:sz w:val="22"/>
              </w:rPr>
            </w:pPr>
          </w:p>
          <w:p w14:paraId="581E2258" w14:textId="77777777" w:rsidR="00D459C7" w:rsidRPr="00955618" w:rsidRDefault="00D459C7" w:rsidP="00D459C7">
            <w:pPr>
              <w:rPr>
                <w:rFonts w:ascii="Arial" w:hAnsi="Arial" w:cs="Arial"/>
                <w:color w:val="000000" w:themeColor="text1"/>
                <w:sz w:val="22"/>
              </w:rPr>
            </w:pPr>
          </w:p>
          <w:p w14:paraId="17186815" w14:textId="77777777" w:rsidR="00D459C7" w:rsidRPr="00955618" w:rsidRDefault="00D459C7" w:rsidP="00D459C7">
            <w:pPr>
              <w:rPr>
                <w:rFonts w:ascii="Arial" w:hAnsi="Arial" w:cs="Arial"/>
                <w:color w:val="000000" w:themeColor="text1"/>
                <w:sz w:val="22"/>
              </w:rPr>
            </w:pPr>
          </w:p>
          <w:p w14:paraId="1E5DA680" w14:textId="77777777" w:rsidR="00D459C7" w:rsidRPr="00955618" w:rsidRDefault="00D459C7" w:rsidP="00D459C7">
            <w:pPr>
              <w:rPr>
                <w:rFonts w:ascii="Arial" w:hAnsi="Arial" w:cs="Arial"/>
                <w:color w:val="000000" w:themeColor="text1"/>
                <w:sz w:val="22"/>
              </w:rPr>
            </w:pPr>
          </w:p>
          <w:p w14:paraId="09C9512C" w14:textId="77777777" w:rsidR="00D459C7" w:rsidRPr="00955618" w:rsidRDefault="00D459C7" w:rsidP="00D459C7">
            <w:pPr>
              <w:rPr>
                <w:rFonts w:ascii="Arial" w:hAnsi="Arial" w:cs="Arial"/>
                <w:color w:val="000000" w:themeColor="text1"/>
                <w:sz w:val="22"/>
              </w:rPr>
            </w:pPr>
          </w:p>
          <w:p w14:paraId="0B3BC234" w14:textId="77777777" w:rsidR="00D459C7" w:rsidRPr="00955618" w:rsidRDefault="00D459C7" w:rsidP="00D459C7">
            <w:pPr>
              <w:rPr>
                <w:rFonts w:ascii="Arial" w:hAnsi="Arial" w:cs="Arial"/>
                <w:color w:val="000000" w:themeColor="text1"/>
                <w:sz w:val="22"/>
              </w:rPr>
            </w:pPr>
          </w:p>
          <w:p w14:paraId="0E9607BB" w14:textId="77777777" w:rsidR="00D459C7" w:rsidRPr="00955618" w:rsidRDefault="00D459C7" w:rsidP="00D459C7">
            <w:pPr>
              <w:rPr>
                <w:rFonts w:ascii="Arial" w:hAnsi="Arial" w:cs="Arial"/>
                <w:color w:val="000000" w:themeColor="text1"/>
                <w:sz w:val="22"/>
              </w:rPr>
            </w:pPr>
          </w:p>
          <w:p w14:paraId="2CB3454F" w14:textId="77777777" w:rsidR="00D459C7" w:rsidRPr="00955618" w:rsidRDefault="00D459C7" w:rsidP="00D459C7">
            <w:pPr>
              <w:rPr>
                <w:rFonts w:ascii="Arial" w:hAnsi="Arial" w:cs="Arial"/>
                <w:color w:val="000000" w:themeColor="text1"/>
                <w:sz w:val="22"/>
              </w:rPr>
            </w:pPr>
          </w:p>
          <w:p w14:paraId="7476C043" w14:textId="77777777" w:rsidR="00D459C7" w:rsidRPr="00955618" w:rsidRDefault="00D459C7" w:rsidP="00D459C7">
            <w:pPr>
              <w:rPr>
                <w:rFonts w:ascii="Arial" w:hAnsi="Arial" w:cs="Arial"/>
                <w:color w:val="000000" w:themeColor="text1"/>
                <w:sz w:val="22"/>
              </w:rPr>
            </w:pPr>
          </w:p>
          <w:p w14:paraId="0ABABF02" w14:textId="77777777" w:rsidR="00D459C7" w:rsidRPr="00955618" w:rsidRDefault="00D459C7" w:rsidP="00D459C7">
            <w:pPr>
              <w:rPr>
                <w:rFonts w:ascii="Arial" w:hAnsi="Arial" w:cs="Arial"/>
                <w:color w:val="000000" w:themeColor="text1"/>
                <w:sz w:val="22"/>
              </w:rPr>
            </w:pPr>
          </w:p>
          <w:p w14:paraId="393E5C29" w14:textId="77777777" w:rsidR="00D459C7" w:rsidRPr="00955618" w:rsidRDefault="00D459C7" w:rsidP="00D459C7">
            <w:pPr>
              <w:rPr>
                <w:rFonts w:ascii="Arial" w:hAnsi="Arial" w:cs="Arial"/>
                <w:color w:val="000000" w:themeColor="text1"/>
                <w:sz w:val="22"/>
              </w:rPr>
            </w:pPr>
          </w:p>
          <w:p w14:paraId="28625FB9" w14:textId="77777777" w:rsidR="00D459C7" w:rsidRPr="00955618" w:rsidRDefault="00D459C7" w:rsidP="00D459C7">
            <w:pPr>
              <w:rPr>
                <w:rFonts w:ascii="Arial" w:hAnsi="Arial" w:cs="Arial"/>
                <w:color w:val="000000" w:themeColor="text1"/>
                <w:sz w:val="22"/>
              </w:rPr>
            </w:pPr>
          </w:p>
          <w:p w14:paraId="60FEF2FA" w14:textId="77777777" w:rsidR="00D459C7" w:rsidRPr="00955618" w:rsidRDefault="00D459C7" w:rsidP="00D459C7">
            <w:pPr>
              <w:rPr>
                <w:rFonts w:ascii="Arial" w:hAnsi="Arial" w:cs="Arial"/>
                <w:color w:val="000000" w:themeColor="text1"/>
                <w:sz w:val="22"/>
              </w:rPr>
            </w:pPr>
          </w:p>
          <w:p w14:paraId="2FBC588F" w14:textId="77777777" w:rsidR="00D459C7" w:rsidRPr="00955618" w:rsidRDefault="00D459C7" w:rsidP="00D459C7">
            <w:pPr>
              <w:rPr>
                <w:rFonts w:ascii="Arial" w:hAnsi="Arial" w:cs="Arial"/>
                <w:color w:val="000000" w:themeColor="text1"/>
                <w:sz w:val="22"/>
              </w:rPr>
            </w:pPr>
          </w:p>
          <w:p w14:paraId="679E2377" w14:textId="77777777" w:rsidR="00D459C7" w:rsidRPr="00955618" w:rsidRDefault="00D459C7" w:rsidP="00D459C7">
            <w:pPr>
              <w:rPr>
                <w:rFonts w:ascii="Arial" w:hAnsi="Arial" w:cs="Arial"/>
                <w:color w:val="000000" w:themeColor="text1"/>
                <w:sz w:val="22"/>
              </w:rPr>
            </w:pPr>
          </w:p>
          <w:p w14:paraId="38C36AF1" w14:textId="77777777" w:rsidR="00D459C7" w:rsidRPr="00955618" w:rsidRDefault="00D459C7" w:rsidP="00D459C7">
            <w:pPr>
              <w:rPr>
                <w:rFonts w:ascii="Arial" w:hAnsi="Arial" w:cs="Arial"/>
                <w:color w:val="000000" w:themeColor="text1"/>
                <w:sz w:val="22"/>
              </w:rPr>
            </w:pPr>
          </w:p>
          <w:p w14:paraId="3BEA69CE" w14:textId="77777777" w:rsidR="00D459C7" w:rsidRPr="00955618" w:rsidRDefault="00D459C7" w:rsidP="00D459C7">
            <w:pPr>
              <w:rPr>
                <w:rFonts w:ascii="Arial" w:hAnsi="Arial" w:cs="Arial"/>
                <w:color w:val="000000" w:themeColor="text1"/>
                <w:sz w:val="22"/>
              </w:rPr>
            </w:pPr>
          </w:p>
          <w:p w14:paraId="2AE9DDE7" w14:textId="77777777" w:rsidR="00D459C7" w:rsidRPr="00955618" w:rsidRDefault="00D459C7" w:rsidP="00D459C7">
            <w:pPr>
              <w:rPr>
                <w:rFonts w:ascii="Arial" w:hAnsi="Arial" w:cs="Arial"/>
                <w:color w:val="000000" w:themeColor="text1"/>
                <w:sz w:val="22"/>
              </w:rPr>
            </w:pPr>
          </w:p>
          <w:p w14:paraId="68F2A721"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Siehe 2.2.5 „Nicht ärztliche Leistungen“</w:t>
            </w:r>
          </w:p>
        </w:tc>
        <w:tc>
          <w:tcPr>
            <w:tcW w:w="1357" w:type="dxa"/>
          </w:tcPr>
          <w:p w14:paraId="40029061" w14:textId="52FA319E" w:rsidR="00D459C7" w:rsidRPr="00955618" w:rsidRDefault="00D459C7" w:rsidP="00D459C7">
            <w:pPr>
              <w:rPr>
                <w:rFonts w:ascii="Arial" w:hAnsi="Arial" w:cs="Arial"/>
                <w:color w:val="000000" w:themeColor="text1"/>
                <w:sz w:val="22"/>
              </w:rPr>
            </w:pPr>
          </w:p>
        </w:tc>
      </w:tr>
      <w:tr w:rsidR="001739DE" w:rsidRPr="00955618" w14:paraId="2AA8A227" w14:textId="77777777" w:rsidTr="004D1CE4">
        <w:trPr>
          <w:trHeight w:val="1436"/>
        </w:trPr>
        <w:tc>
          <w:tcPr>
            <w:tcW w:w="3049" w:type="dxa"/>
          </w:tcPr>
          <w:p w14:paraId="1F06BBEC"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Aufnahmetag</w:t>
            </w:r>
          </w:p>
          <w:p w14:paraId="6063FEA3"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1.3.1</w:t>
            </w:r>
          </w:p>
        </w:tc>
        <w:tc>
          <w:tcPr>
            <w:tcW w:w="1633" w:type="dxa"/>
          </w:tcPr>
          <w:p w14:paraId="772C8C00" w14:textId="34281520"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303E593" w14:textId="6FB8C91C"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Bei der Aufnahme eines Patienten nach externer Verordnung von (teil-)stationärer Krankenhausbehandlung sind die üblichen Tätigkeiten des Aufnahmearztes nicht abrechnungsfähig.</w:t>
            </w:r>
          </w:p>
          <w:p w14:paraId="478AD86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Ambulanzleistungen sind jedoch abrechnungsfähig, wenn eine der folgenden drei Konstellationen zutrifft:</w:t>
            </w:r>
          </w:p>
          <w:p w14:paraId="349C8A0A"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1. Ein fortlaufend in der Institutsambulanz behandelter Patient hat einen regulären Ambulanztermin, wird aber zu einem späteren Zeitpunkt am gleichen Tag, z. B. wegen aktueller Symptomatik, o. ä. stationär aufgenommen.</w:t>
            </w:r>
          </w:p>
          <w:p w14:paraId="648FA292" w14:textId="384A84E1"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lastRenderedPageBreak/>
              <w:t>2. Ein Ambulanzpatient nimmt einen regulär geplanten Termin (auch bei einem nicht</w:t>
            </w:r>
            <w:r w:rsidR="00F97186">
              <w:rPr>
                <w:rFonts w:ascii="Arial" w:hAnsi="Arial" w:cs="Arial"/>
                <w:color w:val="000000" w:themeColor="text1"/>
                <w:sz w:val="22"/>
              </w:rPr>
              <w:t>-</w:t>
            </w:r>
            <w:r w:rsidRPr="00955618">
              <w:rPr>
                <w:rFonts w:ascii="Arial" w:hAnsi="Arial" w:cs="Arial"/>
                <w:color w:val="000000" w:themeColor="text1"/>
                <w:sz w:val="22"/>
              </w:rPr>
              <w:t>ärztlichen Mitarbeiter) wahr, im Verlaufe dessen sich ein akute</w:t>
            </w:r>
            <w:r>
              <w:rPr>
                <w:rFonts w:ascii="Arial" w:hAnsi="Arial" w:cs="Arial"/>
                <w:color w:val="000000" w:themeColor="text1"/>
                <w:sz w:val="22"/>
              </w:rPr>
              <w:t>s</w:t>
            </w:r>
            <w:r w:rsidRPr="00955618">
              <w:rPr>
                <w:rFonts w:ascii="Arial" w:hAnsi="Arial" w:cs="Arial"/>
                <w:color w:val="000000" w:themeColor="text1"/>
                <w:sz w:val="22"/>
              </w:rPr>
              <w:t xml:space="preserve"> stationäre</w:t>
            </w:r>
            <w:r w:rsidR="00F97186">
              <w:rPr>
                <w:rFonts w:ascii="Arial" w:hAnsi="Arial" w:cs="Arial"/>
                <w:color w:val="000000" w:themeColor="text1"/>
                <w:sz w:val="22"/>
              </w:rPr>
              <w:t>s</w:t>
            </w:r>
            <w:r w:rsidRPr="00955618">
              <w:rPr>
                <w:rFonts w:ascii="Arial" w:hAnsi="Arial" w:cs="Arial"/>
                <w:color w:val="000000" w:themeColor="text1"/>
                <w:sz w:val="22"/>
              </w:rPr>
              <w:t xml:space="preserve"> Behandlungserfordernis ergibt. Nach Einschaltung des</w:t>
            </w:r>
            <w:r>
              <w:rPr>
                <w:rFonts w:ascii="Arial" w:hAnsi="Arial" w:cs="Arial"/>
                <w:color w:val="000000" w:themeColor="text1"/>
                <w:sz w:val="22"/>
              </w:rPr>
              <w:t xml:space="preserve"> </w:t>
            </w:r>
            <w:r w:rsidRPr="00955618">
              <w:rPr>
                <w:rFonts w:ascii="Arial" w:hAnsi="Arial" w:cs="Arial"/>
                <w:color w:val="000000" w:themeColor="text1"/>
                <w:sz w:val="22"/>
              </w:rPr>
              <w:t>Ambulanzarztes verordnet dieser Krankenhausbehandlung</w:t>
            </w:r>
            <w:r>
              <w:rPr>
                <w:rFonts w:ascii="Arial" w:hAnsi="Arial" w:cs="Arial"/>
                <w:color w:val="000000" w:themeColor="text1"/>
                <w:sz w:val="22"/>
              </w:rPr>
              <w:t>.</w:t>
            </w:r>
          </w:p>
          <w:p w14:paraId="1FA6B490"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3. Mitarbeiter der Institutsambulanz erbringen eine Kriseninterventionsleistung (z. B. auch im Rahmen aufsuchender ambulanter Tätigkeit, dies auch auf Veranlassung aus dem Umfeld eines Patienten), z. B. bei Behandlungsabbruch, akute Sui</w:t>
            </w:r>
            <w:r>
              <w:rPr>
                <w:rFonts w:ascii="Arial" w:hAnsi="Arial" w:cs="Arial"/>
                <w:color w:val="000000" w:themeColor="text1"/>
                <w:sz w:val="22"/>
              </w:rPr>
              <w:t>z</w:t>
            </w:r>
            <w:r w:rsidRPr="00955618">
              <w:rPr>
                <w:rFonts w:ascii="Arial" w:hAnsi="Arial" w:cs="Arial"/>
                <w:color w:val="000000" w:themeColor="text1"/>
                <w:sz w:val="22"/>
              </w:rPr>
              <w:t>idalität, Intoxikation, u.a.m., mit der Absicht, eine stationäre Behandlung zu vermeiden. Lässt sich dieses Ziel nicht erreichen, oder kommt es dennoch zu einem späteren Zeitpunkt zur Einweisung, sind die zuvor ambulant erbrachten Leistungen abrechnungsfähig (sogenannte „erfolglose“ Krisenintervention).</w:t>
            </w:r>
          </w:p>
          <w:p w14:paraId="755CA8F5" w14:textId="5FD8EA70" w:rsidR="00D459C7" w:rsidRPr="00955618" w:rsidRDefault="00D459C7" w:rsidP="00D459C7">
            <w:pPr>
              <w:rPr>
                <w:rFonts w:ascii="Arial" w:hAnsi="Arial" w:cs="Arial"/>
                <w:color w:val="000000" w:themeColor="text1"/>
                <w:sz w:val="22"/>
              </w:rPr>
            </w:pPr>
          </w:p>
        </w:tc>
        <w:tc>
          <w:tcPr>
            <w:tcW w:w="2867" w:type="dxa"/>
          </w:tcPr>
          <w:p w14:paraId="7ECAAABF" w14:textId="77777777" w:rsidR="00D459C7" w:rsidRPr="00955618" w:rsidRDefault="00D459C7" w:rsidP="00D459C7">
            <w:pPr>
              <w:rPr>
                <w:rFonts w:ascii="Arial" w:hAnsi="Arial" w:cs="Arial"/>
                <w:color w:val="000000" w:themeColor="text1"/>
                <w:sz w:val="22"/>
              </w:rPr>
            </w:pPr>
          </w:p>
        </w:tc>
        <w:tc>
          <w:tcPr>
            <w:tcW w:w="1357" w:type="dxa"/>
          </w:tcPr>
          <w:p w14:paraId="40056962" w14:textId="77777777" w:rsidR="00D459C7" w:rsidRPr="00955618" w:rsidRDefault="00D459C7" w:rsidP="00D459C7">
            <w:pPr>
              <w:rPr>
                <w:rFonts w:ascii="Arial" w:hAnsi="Arial" w:cs="Arial"/>
                <w:color w:val="000000" w:themeColor="text1"/>
                <w:sz w:val="22"/>
              </w:rPr>
            </w:pPr>
          </w:p>
        </w:tc>
      </w:tr>
      <w:tr w:rsidR="001739DE" w:rsidRPr="00955618" w14:paraId="7A883325" w14:textId="77777777" w:rsidTr="004D1CE4">
        <w:trPr>
          <w:trHeight w:val="919"/>
        </w:trPr>
        <w:tc>
          <w:tcPr>
            <w:tcW w:w="3049" w:type="dxa"/>
          </w:tcPr>
          <w:p w14:paraId="2DDA9BE3"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Ausstellen von Bescheinigungen, Gutachten und Berichten für Dritte</w:t>
            </w:r>
          </w:p>
          <w:p w14:paraId="369B152E" w14:textId="4AF5A6C6" w:rsidR="00D459C7" w:rsidRPr="00955618" w:rsidRDefault="004D1CE4" w:rsidP="00D459C7">
            <w:pPr>
              <w:rPr>
                <w:rFonts w:ascii="Arial" w:hAnsi="Arial" w:cs="Arial"/>
                <w:b/>
                <w:bCs/>
                <w:color w:val="000000" w:themeColor="text1"/>
                <w:sz w:val="22"/>
              </w:rPr>
            </w:pPr>
            <w:r>
              <w:rPr>
                <w:rFonts w:ascii="Arial" w:hAnsi="Arial" w:cs="Arial"/>
                <w:b/>
                <w:bCs/>
                <w:color w:val="000000" w:themeColor="text1"/>
                <w:sz w:val="22"/>
              </w:rPr>
              <w:t>1.1.3</w:t>
            </w:r>
          </w:p>
        </w:tc>
        <w:tc>
          <w:tcPr>
            <w:tcW w:w="1633" w:type="dxa"/>
          </w:tcPr>
          <w:p w14:paraId="64BE8452" w14:textId="434D086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9B8EA79" w14:textId="1DD87CE3" w:rsidR="00D459C7" w:rsidRDefault="00D459C7" w:rsidP="00D459C7">
            <w:pPr>
              <w:rPr>
                <w:rFonts w:ascii="Arial" w:hAnsi="Arial" w:cs="Arial"/>
                <w:color w:val="000000" w:themeColor="text1"/>
                <w:sz w:val="22"/>
              </w:rPr>
            </w:pPr>
            <w:r w:rsidRPr="00955618">
              <w:rPr>
                <w:rFonts w:ascii="Arial" w:hAnsi="Arial" w:cs="Arial"/>
                <w:color w:val="000000" w:themeColor="text1"/>
                <w:sz w:val="22"/>
              </w:rPr>
              <w:t>Für Leistungen, die außerhalb der vertragsärztlichen Versorgung erbracht werden (schriftliche Stellungnahmen für Dritte, z.</w:t>
            </w:r>
            <w:r w:rsidR="00F97186">
              <w:rPr>
                <w:rFonts w:ascii="Arial" w:hAnsi="Arial" w:cs="Arial"/>
                <w:color w:val="000000" w:themeColor="text1"/>
                <w:sz w:val="22"/>
              </w:rPr>
              <w:t xml:space="preserve"> </w:t>
            </w:r>
            <w:r w:rsidRPr="00955618">
              <w:rPr>
                <w:rFonts w:ascii="Arial" w:hAnsi="Arial" w:cs="Arial"/>
                <w:color w:val="000000" w:themeColor="text1"/>
                <w:sz w:val="22"/>
              </w:rPr>
              <w:t>B. Jugendämter, Versorgungsämter, Führerscheinstelle, Agentur für Arbeit, Gerichte u.a.) sind die gesetzlichen Krankenkassen gem. § 3 BMV-Ä nicht leistungspflichtig. Diese Kosten sind vielmehr dem Auftraggeber in Rechnung zu stellen.</w:t>
            </w:r>
          </w:p>
          <w:p w14:paraId="7BE72CE8" w14:textId="5969C50A" w:rsidR="00D459C7" w:rsidRPr="00955618" w:rsidRDefault="00D459C7" w:rsidP="00D459C7">
            <w:pPr>
              <w:rPr>
                <w:rFonts w:asciiTheme="minorHAnsi" w:hAnsiTheme="minorHAnsi" w:cstheme="minorHAnsi"/>
                <w:color w:val="000000" w:themeColor="text1"/>
                <w:sz w:val="22"/>
                <w:szCs w:val="22"/>
              </w:rPr>
            </w:pPr>
          </w:p>
        </w:tc>
        <w:tc>
          <w:tcPr>
            <w:tcW w:w="2867" w:type="dxa"/>
          </w:tcPr>
          <w:p w14:paraId="6EB2A86E" w14:textId="77777777" w:rsidR="00D459C7" w:rsidRPr="00955618" w:rsidRDefault="00D459C7" w:rsidP="00D459C7">
            <w:pPr>
              <w:rPr>
                <w:rFonts w:ascii="Arial" w:hAnsi="Arial" w:cs="Arial"/>
                <w:color w:val="000000" w:themeColor="text1"/>
                <w:sz w:val="22"/>
              </w:rPr>
            </w:pPr>
          </w:p>
        </w:tc>
        <w:tc>
          <w:tcPr>
            <w:tcW w:w="1357" w:type="dxa"/>
          </w:tcPr>
          <w:p w14:paraId="56F47062" w14:textId="77777777" w:rsidR="00D459C7" w:rsidRPr="00955618" w:rsidRDefault="00D459C7" w:rsidP="00D459C7">
            <w:pPr>
              <w:rPr>
                <w:rFonts w:ascii="Arial" w:hAnsi="Arial" w:cs="Arial"/>
                <w:color w:val="000000" w:themeColor="text1"/>
                <w:sz w:val="22"/>
              </w:rPr>
            </w:pPr>
          </w:p>
        </w:tc>
      </w:tr>
      <w:tr w:rsidR="001739DE" w:rsidRPr="00955618" w14:paraId="48DE5751" w14:textId="77777777" w:rsidTr="004D1CE4">
        <w:trPr>
          <w:trHeight w:val="1135"/>
        </w:trPr>
        <w:tc>
          <w:tcPr>
            <w:tcW w:w="3049" w:type="dxa"/>
          </w:tcPr>
          <w:p w14:paraId="0F74412F"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Begriffsdefinitionen</w:t>
            </w:r>
          </w:p>
          <w:p w14:paraId="79F55866" w14:textId="0BDD03D5" w:rsidR="00D459C7" w:rsidRPr="00955618" w:rsidRDefault="004D1CE4" w:rsidP="00D459C7">
            <w:pPr>
              <w:rPr>
                <w:rFonts w:ascii="Arial" w:hAnsi="Arial" w:cs="Arial"/>
                <w:b/>
                <w:bCs/>
                <w:color w:val="000000" w:themeColor="text1"/>
                <w:sz w:val="22"/>
              </w:rPr>
            </w:pPr>
            <w:r>
              <w:rPr>
                <w:rFonts w:ascii="Arial" w:hAnsi="Arial" w:cs="Arial"/>
                <w:b/>
                <w:bCs/>
                <w:color w:val="000000" w:themeColor="text1"/>
                <w:sz w:val="22"/>
              </w:rPr>
              <w:t>1.1.4</w:t>
            </w:r>
          </w:p>
        </w:tc>
        <w:tc>
          <w:tcPr>
            <w:tcW w:w="1633" w:type="dxa"/>
          </w:tcPr>
          <w:p w14:paraId="33B6282D" w14:textId="7F0850C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6E3004D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Behandlungsfall:</w:t>
            </w:r>
          </w:p>
          <w:p w14:paraId="43367250" w14:textId="1489E5F1"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Der Behandlungsfall ist definiert in § 21 Abs. 1 BMV-Ä als Behandlung desselben Versicherten durch dieselbe Arztpraxis in einem Kalendervierteljahr zu Lasten derselben Krankenkasse.</w:t>
            </w:r>
          </w:p>
          <w:p w14:paraId="1ACC488C" w14:textId="77777777" w:rsidR="00D459C7" w:rsidRPr="00955618" w:rsidRDefault="00D459C7" w:rsidP="00D459C7">
            <w:pPr>
              <w:rPr>
                <w:rFonts w:ascii="Arial" w:hAnsi="Arial" w:cs="Arial"/>
                <w:color w:val="000000" w:themeColor="text1"/>
                <w:sz w:val="22"/>
              </w:rPr>
            </w:pPr>
          </w:p>
          <w:p w14:paraId="2A07E26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Krankheitsfall:</w:t>
            </w:r>
          </w:p>
          <w:p w14:paraId="0B853E19" w14:textId="05CC2535" w:rsidR="00D459C7" w:rsidRPr="00955618" w:rsidRDefault="00D459C7" w:rsidP="00D459C7">
            <w:pPr>
              <w:rPr>
                <w:rFonts w:asciiTheme="minorHAnsi" w:hAnsiTheme="minorHAnsi" w:cstheme="minorHAnsi"/>
                <w:color w:val="000000" w:themeColor="text1"/>
                <w:sz w:val="22"/>
                <w:szCs w:val="22"/>
              </w:rPr>
            </w:pPr>
            <w:r w:rsidRPr="00955618">
              <w:rPr>
                <w:rFonts w:ascii="Arial" w:hAnsi="Arial" w:cs="Arial"/>
                <w:color w:val="000000" w:themeColor="text1"/>
                <w:sz w:val="22"/>
              </w:rPr>
              <w:t>Der Krankheitsfall ist definiert in § 21 Abs. 1 BMV-Ä und umfasst das aktuelle sowie die drei nachfolgenden Kalendervierteljahre, die der Berechnung der krankheitsfallbezogenen Leistungsposition folgen.</w:t>
            </w:r>
          </w:p>
        </w:tc>
        <w:tc>
          <w:tcPr>
            <w:tcW w:w="2867" w:type="dxa"/>
          </w:tcPr>
          <w:p w14:paraId="11ABECCC" w14:textId="77777777" w:rsidR="00D459C7" w:rsidRPr="00955618" w:rsidRDefault="00D459C7" w:rsidP="00D459C7">
            <w:pPr>
              <w:rPr>
                <w:rFonts w:ascii="Arial" w:hAnsi="Arial" w:cs="Arial"/>
                <w:color w:val="000000" w:themeColor="text1"/>
                <w:sz w:val="22"/>
              </w:rPr>
            </w:pPr>
          </w:p>
        </w:tc>
        <w:tc>
          <w:tcPr>
            <w:tcW w:w="1357" w:type="dxa"/>
          </w:tcPr>
          <w:p w14:paraId="0BA80BEE" w14:textId="77777777" w:rsidR="00D459C7" w:rsidRPr="00955618" w:rsidRDefault="00D459C7" w:rsidP="00D459C7">
            <w:pPr>
              <w:rPr>
                <w:rFonts w:ascii="Arial" w:hAnsi="Arial" w:cs="Arial"/>
                <w:color w:val="000000" w:themeColor="text1"/>
                <w:sz w:val="22"/>
              </w:rPr>
            </w:pPr>
          </w:p>
        </w:tc>
      </w:tr>
      <w:tr w:rsidR="001739DE" w:rsidRPr="00955618" w14:paraId="6027708A" w14:textId="77777777" w:rsidTr="004D1CE4">
        <w:trPr>
          <w:trHeight w:val="1135"/>
        </w:trPr>
        <w:tc>
          <w:tcPr>
            <w:tcW w:w="3049" w:type="dxa"/>
          </w:tcPr>
          <w:p w14:paraId="0F98E5F9"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Beratungsleistungen</w:t>
            </w:r>
          </w:p>
          <w:p w14:paraId="77BB2C2A"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2.1.3</w:t>
            </w:r>
          </w:p>
        </w:tc>
        <w:tc>
          <w:tcPr>
            <w:tcW w:w="1633" w:type="dxa"/>
          </w:tcPr>
          <w:p w14:paraId="51082A65" w14:textId="55DB2763"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14F346A" w14:textId="2600EB2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Eine Beratung der Bezugsperson eines Patienten kommt nur im Rahmen von Diagnostik und Therapie des Patienten in Betracht. Die von der </w:t>
            </w:r>
            <w:r>
              <w:rPr>
                <w:rFonts w:ascii="Arial" w:hAnsi="Arial" w:cs="Arial"/>
                <w:color w:val="000000" w:themeColor="text1"/>
                <w:sz w:val="22"/>
              </w:rPr>
              <w:t xml:space="preserve">Institutsambulanz </w:t>
            </w:r>
            <w:r w:rsidRPr="00955618">
              <w:rPr>
                <w:rFonts w:ascii="Arial" w:hAnsi="Arial" w:cs="Arial"/>
                <w:color w:val="000000" w:themeColor="text1"/>
                <w:sz w:val="22"/>
              </w:rPr>
              <w:t>erbrachten Leistungen werden dem jeweiligen Patienten zugeordnet.</w:t>
            </w:r>
          </w:p>
          <w:p w14:paraId="468D366A" w14:textId="522604D0"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Reine Beratungen „Dritter“ ohne Diagnostik und Therapie durch die </w:t>
            </w:r>
            <w:r>
              <w:rPr>
                <w:rFonts w:ascii="Arial" w:hAnsi="Arial" w:cs="Arial"/>
                <w:color w:val="000000" w:themeColor="text1"/>
                <w:sz w:val="22"/>
              </w:rPr>
              <w:t xml:space="preserve">Institutsambulanz </w:t>
            </w:r>
            <w:r w:rsidRPr="00955618">
              <w:rPr>
                <w:rFonts w:ascii="Arial" w:hAnsi="Arial" w:cs="Arial"/>
                <w:color w:val="000000" w:themeColor="text1"/>
                <w:sz w:val="22"/>
              </w:rPr>
              <w:t>sind keine Leistung der GKV und nicht mit den Kostenträgern abrechenbar.</w:t>
            </w:r>
          </w:p>
        </w:tc>
        <w:tc>
          <w:tcPr>
            <w:tcW w:w="2867" w:type="dxa"/>
          </w:tcPr>
          <w:p w14:paraId="326D68E2" w14:textId="77777777" w:rsidR="00D459C7" w:rsidRPr="00955618" w:rsidRDefault="00D459C7" w:rsidP="00D459C7">
            <w:pPr>
              <w:rPr>
                <w:rFonts w:ascii="Arial" w:hAnsi="Arial" w:cs="Arial"/>
                <w:color w:val="000000" w:themeColor="text1"/>
                <w:sz w:val="22"/>
              </w:rPr>
            </w:pPr>
          </w:p>
        </w:tc>
        <w:tc>
          <w:tcPr>
            <w:tcW w:w="1357" w:type="dxa"/>
          </w:tcPr>
          <w:p w14:paraId="2A5D80EB" w14:textId="77777777" w:rsidR="00D459C7" w:rsidRPr="00955618" w:rsidRDefault="00D459C7" w:rsidP="00D459C7">
            <w:pPr>
              <w:rPr>
                <w:rFonts w:ascii="Arial" w:hAnsi="Arial" w:cs="Arial"/>
                <w:color w:val="000000" w:themeColor="text1"/>
                <w:sz w:val="22"/>
              </w:rPr>
            </w:pPr>
          </w:p>
        </w:tc>
      </w:tr>
      <w:tr w:rsidR="001739DE" w:rsidRPr="00955618" w14:paraId="39220CC4" w14:textId="77777777" w:rsidTr="004D1CE4">
        <w:trPr>
          <w:trHeight w:val="1135"/>
        </w:trPr>
        <w:tc>
          <w:tcPr>
            <w:tcW w:w="3049" w:type="dxa"/>
          </w:tcPr>
          <w:p w14:paraId="64154EA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lastRenderedPageBreak/>
              <w:t>Berufsgruppen Zuordnung</w:t>
            </w:r>
          </w:p>
          <w:p w14:paraId="207815F2"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2.2.3</w:t>
            </w:r>
          </w:p>
        </w:tc>
        <w:tc>
          <w:tcPr>
            <w:tcW w:w="1633" w:type="dxa"/>
          </w:tcPr>
          <w:p w14:paraId="13DFC8E8" w14:textId="5FA35067"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B2B18CB" w14:textId="000B6C6F"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Zuordnung der Mitarbeiter zu einer Berufsgruppe der Leistungsbeschreibung erfolgt nach dem Arbeitsvertrag und nicht nach der Tätigkeit. Ausnahme s. Pkt. „Verwaltungstätigkeiten“.</w:t>
            </w:r>
          </w:p>
        </w:tc>
        <w:tc>
          <w:tcPr>
            <w:tcW w:w="2867" w:type="dxa"/>
          </w:tcPr>
          <w:p w14:paraId="0F62D32E" w14:textId="31BF45F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 Pkt.</w:t>
            </w:r>
            <w:r w:rsidR="005551AF">
              <w:rPr>
                <w:rFonts w:ascii="Arial" w:hAnsi="Arial" w:cs="Arial"/>
                <w:color w:val="000000" w:themeColor="text1"/>
                <w:sz w:val="22"/>
              </w:rPr>
              <w:t xml:space="preserve"> 2.2.7</w:t>
            </w:r>
          </w:p>
          <w:p w14:paraId="5D4C3E5C"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„Verwaltungstätigkeiten“</w:t>
            </w:r>
          </w:p>
        </w:tc>
        <w:tc>
          <w:tcPr>
            <w:tcW w:w="1357" w:type="dxa"/>
          </w:tcPr>
          <w:p w14:paraId="51014788" w14:textId="77777777" w:rsidR="00D459C7" w:rsidRPr="00955618" w:rsidRDefault="00D459C7" w:rsidP="00D459C7">
            <w:pPr>
              <w:rPr>
                <w:rFonts w:ascii="Arial" w:hAnsi="Arial" w:cs="Arial"/>
                <w:color w:val="000000" w:themeColor="text1"/>
                <w:sz w:val="22"/>
              </w:rPr>
            </w:pPr>
          </w:p>
        </w:tc>
      </w:tr>
      <w:tr w:rsidR="001739DE" w:rsidRPr="00955618" w14:paraId="427BE5E2" w14:textId="77777777" w:rsidTr="004D1CE4">
        <w:trPr>
          <w:trHeight w:val="1135"/>
        </w:trPr>
        <w:tc>
          <w:tcPr>
            <w:tcW w:w="3049" w:type="dxa"/>
          </w:tcPr>
          <w:p w14:paraId="6A50854E"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Betreuung einer Großgruppe</w:t>
            </w:r>
          </w:p>
          <w:p w14:paraId="2E16F3D4"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2.4.1</w:t>
            </w:r>
          </w:p>
        </w:tc>
        <w:tc>
          <w:tcPr>
            <w:tcW w:w="1633" w:type="dxa"/>
          </w:tcPr>
          <w:p w14:paraId="4194D479" w14:textId="00324E0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5A7F23D" w14:textId="726B364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Sind bei der Betreuung einer Großgruppe z. B. sowohl Arzt als auch der Psychologe, 90 Minuten anwesend, so ist am selben Behandlungstag sowohl die Nummer 154 als auch die Nummer 254 nebeneinander abrechnungsfähig. Dies gilt selbstverständlich auch für eine andere Zusammensetzung von Berufsgruppen.</w:t>
            </w:r>
          </w:p>
        </w:tc>
        <w:tc>
          <w:tcPr>
            <w:tcW w:w="2867" w:type="dxa"/>
          </w:tcPr>
          <w:p w14:paraId="1704BE31" w14:textId="77777777" w:rsidR="00D459C7" w:rsidRPr="00955618" w:rsidRDefault="00D459C7" w:rsidP="00D459C7">
            <w:pPr>
              <w:rPr>
                <w:rFonts w:ascii="Arial" w:hAnsi="Arial" w:cs="Arial"/>
                <w:color w:val="000000" w:themeColor="text1"/>
                <w:sz w:val="22"/>
              </w:rPr>
            </w:pPr>
          </w:p>
        </w:tc>
        <w:tc>
          <w:tcPr>
            <w:tcW w:w="1357" w:type="dxa"/>
          </w:tcPr>
          <w:p w14:paraId="2C0121D6" w14:textId="77777777" w:rsidR="00D459C7" w:rsidRPr="00955618" w:rsidRDefault="00D459C7" w:rsidP="00D459C7">
            <w:pPr>
              <w:rPr>
                <w:rFonts w:ascii="Arial" w:hAnsi="Arial" w:cs="Arial"/>
                <w:color w:val="000000" w:themeColor="text1"/>
                <w:sz w:val="22"/>
              </w:rPr>
            </w:pPr>
          </w:p>
        </w:tc>
      </w:tr>
      <w:tr w:rsidR="001739DE" w:rsidRPr="00955618" w14:paraId="60F1E51B" w14:textId="77777777" w:rsidTr="004D1CE4">
        <w:trPr>
          <w:trHeight w:val="515"/>
        </w:trPr>
        <w:tc>
          <w:tcPr>
            <w:tcW w:w="3049" w:type="dxa"/>
          </w:tcPr>
          <w:p w14:paraId="43F27169" w14:textId="77777777" w:rsidR="00D459C7" w:rsidRPr="00B86D33" w:rsidRDefault="00D459C7" w:rsidP="00D459C7">
            <w:pPr>
              <w:pStyle w:val="berschrift1"/>
              <w:spacing w:before="0"/>
              <w:rPr>
                <w:rFonts w:ascii="Arial" w:eastAsia="Times New Roman" w:hAnsi="Arial" w:cs="Arial"/>
                <w:sz w:val="22"/>
                <w:szCs w:val="24"/>
              </w:rPr>
            </w:pPr>
            <w:bookmarkStart w:id="1" w:name="_Bundesmantelvertrag-Ärzte"/>
            <w:bookmarkEnd w:id="1"/>
            <w:r w:rsidRPr="00B86D33">
              <w:rPr>
                <w:rFonts w:ascii="Arial" w:eastAsia="Times New Roman" w:hAnsi="Arial" w:cs="Arial"/>
                <w:sz w:val="22"/>
                <w:szCs w:val="24"/>
              </w:rPr>
              <w:t>Bundesmantelvertrag-Ärzte</w:t>
            </w:r>
          </w:p>
          <w:p w14:paraId="46F59C51" w14:textId="77777777" w:rsidR="00D459C7" w:rsidRPr="00955618" w:rsidRDefault="00D459C7" w:rsidP="00D459C7">
            <w:pPr>
              <w:rPr>
                <w:rFonts w:ascii="Arial" w:hAnsi="Arial" w:cs="Arial"/>
                <w:bCs/>
                <w:color w:val="000000" w:themeColor="text1"/>
                <w:sz w:val="22"/>
              </w:rPr>
            </w:pPr>
            <w:r w:rsidRPr="00B86D33">
              <w:rPr>
                <w:rFonts w:ascii="Arial" w:hAnsi="Arial" w:cs="Arial"/>
                <w:bCs/>
                <w:color w:val="000000" w:themeColor="text1"/>
                <w:sz w:val="22"/>
              </w:rPr>
              <w:t>1.1.1</w:t>
            </w:r>
          </w:p>
        </w:tc>
        <w:tc>
          <w:tcPr>
            <w:tcW w:w="1633" w:type="dxa"/>
          </w:tcPr>
          <w:p w14:paraId="158EC078" w14:textId="6420649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07A687A" w14:textId="6F24AA9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Lt. § 2 Abs. 3 BMV-Ä i.V. § 1 Abs. 1 BMV-Ä gilt der Bundesmantelvertrag-Ärzte auch für die </w:t>
            </w:r>
            <w:r>
              <w:rPr>
                <w:rFonts w:ascii="Arial" w:hAnsi="Arial" w:cs="Arial"/>
                <w:color w:val="000000" w:themeColor="text1"/>
                <w:sz w:val="22"/>
              </w:rPr>
              <w:t>Institutsambulanzen</w:t>
            </w:r>
            <w:r w:rsidRPr="00955618">
              <w:rPr>
                <w:rFonts w:ascii="Arial" w:hAnsi="Arial" w:cs="Arial"/>
                <w:color w:val="000000" w:themeColor="text1"/>
                <w:sz w:val="22"/>
              </w:rPr>
              <w:t>.</w:t>
            </w:r>
          </w:p>
        </w:tc>
        <w:tc>
          <w:tcPr>
            <w:tcW w:w="2867" w:type="dxa"/>
          </w:tcPr>
          <w:p w14:paraId="1306E298" w14:textId="77777777" w:rsidR="00D459C7" w:rsidRPr="00955618" w:rsidRDefault="00D459C7" w:rsidP="00D459C7">
            <w:pPr>
              <w:rPr>
                <w:rFonts w:ascii="Arial" w:hAnsi="Arial" w:cs="Arial"/>
                <w:color w:val="000000" w:themeColor="text1"/>
                <w:sz w:val="22"/>
              </w:rPr>
            </w:pPr>
          </w:p>
        </w:tc>
        <w:tc>
          <w:tcPr>
            <w:tcW w:w="1357" w:type="dxa"/>
          </w:tcPr>
          <w:p w14:paraId="0A2FA5A2" w14:textId="77777777" w:rsidR="00D459C7" w:rsidRPr="00955618" w:rsidRDefault="00D459C7" w:rsidP="00D459C7">
            <w:pPr>
              <w:rPr>
                <w:rFonts w:ascii="Arial" w:hAnsi="Arial" w:cs="Arial"/>
                <w:color w:val="000000" w:themeColor="text1"/>
                <w:sz w:val="22"/>
              </w:rPr>
            </w:pPr>
          </w:p>
        </w:tc>
      </w:tr>
      <w:tr w:rsidR="001739DE" w:rsidRPr="00955618" w14:paraId="5753B11A" w14:textId="77777777" w:rsidTr="004D1CE4">
        <w:trPr>
          <w:trHeight w:val="515"/>
        </w:trPr>
        <w:tc>
          <w:tcPr>
            <w:tcW w:w="3049" w:type="dxa"/>
          </w:tcPr>
          <w:p w14:paraId="3AEF31E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Codierung von Diagnosen im Rahmen der Abrechnung</w:t>
            </w:r>
          </w:p>
          <w:p w14:paraId="055B00E8" w14:textId="5ED8E83B" w:rsidR="00D459C7" w:rsidRPr="00955618" w:rsidRDefault="004D1CE4" w:rsidP="00D459C7">
            <w:pPr>
              <w:rPr>
                <w:rFonts w:ascii="Arial" w:hAnsi="Arial" w:cs="Arial"/>
                <w:b/>
                <w:bCs/>
                <w:color w:val="000000" w:themeColor="text1"/>
                <w:sz w:val="22"/>
              </w:rPr>
            </w:pPr>
            <w:r>
              <w:rPr>
                <w:rFonts w:ascii="Arial" w:hAnsi="Arial" w:cs="Arial"/>
                <w:bCs/>
                <w:color w:val="000000" w:themeColor="text1"/>
                <w:sz w:val="22"/>
              </w:rPr>
              <w:t>1.1.5</w:t>
            </w:r>
          </w:p>
        </w:tc>
        <w:tc>
          <w:tcPr>
            <w:tcW w:w="1633" w:type="dxa"/>
          </w:tcPr>
          <w:p w14:paraId="69DE66A6" w14:textId="08EC2AB6"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1414D08A"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Auf den Abrechnungsunterlagen nach § 295 SGB V sind alle Diagnosen zu übermitteln, derentwegen der Patient im entsprechenden Quartal behandelt wurde und für die Leistungen abgerechnet wurden (siehe Anleitung zur Verschlüsselung nach ICD 10 des DIMDI).</w:t>
            </w:r>
          </w:p>
          <w:p w14:paraId="7D90F6A0" w14:textId="77777777" w:rsidR="00D459C7" w:rsidRPr="00955618" w:rsidRDefault="00D459C7" w:rsidP="00D459C7">
            <w:pPr>
              <w:rPr>
                <w:rFonts w:ascii="Arial" w:hAnsi="Arial" w:cs="Arial"/>
                <w:color w:val="000000" w:themeColor="text1"/>
                <w:sz w:val="22"/>
              </w:rPr>
            </w:pPr>
          </w:p>
        </w:tc>
        <w:tc>
          <w:tcPr>
            <w:tcW w:w="2867" w:type="dxa"/>
          </w:tcPr>
          <w:p w14:paraId="3D5256AE" w14:textId="77777777" w:rsidR="00D459C7" w:rsidRPr="00955618" w:rsidRDefault="00D459C7" w:rsidP="00D459C7">
            <w:pPr>
              <w:rPr>
                <w:rFonts w:ascii="Arial" w:hAnsi="Arial" w:cs="Arial"/>
                <w:color w:val="000000" w:themeColor="text1"/>
                <w:sz w:val="22"/>
              </w:rPr>
            </w:pPr>
          </w:p>
        </w:tc>
        <w:tc>
          <w:tcPr>
            <w:tcW w:w="1357" w:type="dxa"/>
          </w:tcPr>
          <w:p w14:paraId="1AD4231C" w14:textId="77777777" w:rsidR="00D459C7" w:rsidRPr="00955618" w:rsidRDefault="00D459C7" w:rsidP="00D459C7">
            <w:pPr>
              <w:rPr>
                <w:rFonts w:ascii="Arial" w:hAnsi="Arial" w:cs="Arial"/>
                <w:color w:val="000000" w:themeColor="text1"/>
                <w:sz w:val="22"/>
              </w:rPr>
            </w:pPr>
          </w:p>
        </w:tc>
      </w:tr>
      <w:tr w:rsidR="001739DE" w:rsidRPr="00955618" w14:paraId="3E5EEF91" w14:textId="77777777" w:rsidTr="004D1CE4">
        <w:trPr>
          <w:trHeight w:val="515"/>
        </w:trPr>
        <w:tc>
          <w:tcPr>
            <w:tcW w:w="3049" w:type="dxa"/>
          </w:tcPr>
          <w:p w14:paraId="40BE1AA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DBT-Gruppen</w:t>
            </w:r>
          </w:p>
          <w:p w14:paraId="5812055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(Dialektisch-Behaviorale Therapie)</w:t>
            </w:r>
          </w:p>
          <w:p w14:paraId="46648233"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2.4.2</w:t>
            </w:r>
          </w:p>
        </w:tc>
        <w:tc>
          <w:tcPr>
            <w:tcW w:w="1633" w:type="dxa"/>
          </w:tcPr>
          <w:p w14:paraId="0DA31EA0" w14:textId="1BB774C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594B75F8"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Da DBT-Gruppen bei Patienten mit der Diagnose </w:t>
            </w:r>
            <w:r w:rsidRPr="004D1CE4">
              <w:rPr>
                <w:rFonts w:ascii="Arial" w:hAnsi="Arial" w:cs="Arial"/>
                <w:color w:val="000000" w:themeColor="text1"/>
                <w:sz w:val="22"/>
              </w:rPr>
              <w:t>F60.3-</w:t>
            </w:r>
            <w:r w:rsidRPr="00955618">
              <w:rPr>
                <w:rFonts w:ascii="Arial" w:hAnsi="Arial" w:cs="Arial"/>
                <w:color w:val="000000" w:themeColor="text1"/>
                <w:sz w:val="22"/>
              </w:rPr>
              <w:t xml:space="preserve"> mit zwei Therapeuten besetzt sein sollten, kann der zweite Therapeut auch dann abgerechnet werden, wenn lediglich eine Kleingruppe durchgeführt wird.</w:t>
            </w:r>
          </w:p>
          <w:p w14:paraId="45DAA92E" w14:textId="7C3D5DFC" w:rsidR="00D459C7" w:rsidRPr="00955618" w:rsidRDefault="00D459C7" w:rsidP="00D459C7">
            <w:pPr>
              <w:rPr>
                <w:rFonts w:ascii="Arial" w:hAnsi="Arial" w:cs="Arial"/>
                <w:strike/>
                <w:color w:val="000000" w:themeColor="text1"/>
                <w:sz w:val="22"/>
              </w:rPr>
            </w:pPr>
          </w:p>
        </w:tc>
        <w:tc>
          <w:tcPr>
            <w:tcW w:w="2867" w:type="dxa"/>
          </w:tcPr>
          <w:p w14:paraId="7099275E" w14:textId="502ACA2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 Pkt.</w:t>
            </w:r>
            <w:r w:rsidR="005551AF">
              <w:rPr>
                <w:rFonts w:ascii="Arial" w:hAnsi="Arial" w:cs="Arial"/>
                <w:color w:val="000000" w:themeColor="text1"/>
                <w:sz w:val="22"/>
              </w:rPr>
              <w:t xml:space="preserve"> 2.4.4</w:t>
            </w:r>
          </w:p>
          <w:p w14:paraId="3E88434D"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„Zwei Leistungserbringer in Gruppen“</w:t>
            </w:r>
          </w:p>
        </w:tc>
        <w:tc>
          <w:tcPr>
            <w:tcW w:w="1357" w:type="dxa"/>
          </w:tcPr>
          <w:p w14:paraId="0C8AA815" w14:textId="77777777" w:rsidR="00D459C7" w:rsidRPr="00955618" w:rsidRDefault="00D459C7" w:rsidP="00D459C7">
            <w:pPr>
              <w:rPr>
                <w:rFonts w:ascii="Arial" w:hAnsi="Arial" w:cs="Arial"/>
                <w:color w:val="000000" w:themeColor="text1"/>
                <w:sz w:val="22"/>
              </w:rPr>
            </w:pPr>
          </w:p>
        </w:tc>
      </w:tr>
      <w:tr w:rsidR="001739DE" w:rsidRPr="00955618" w14:paraId="3EE6BEED" w14:textId="77777777" w:rsidTr="004D1CE4">
        <w:trPr>
          <w:trHeight w:val="1076"/>
        </w:trPr>
        <w:tc>
          <w:tcPr>
            <w:tcW w:w="3049" w:type="dxa"/>
          </w:tcPr>
          <w:p w14:paraId="568BD917"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Diagnostik und Behandlung schwieriger Patienten</w:t>
            </w:r>
          </w:p>
          <w:p w14:paraId="4E143487"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2.3.1</w:t>
            </w:r>
          </w:p>
        </w:tc>
        <w:tc>
          <w:tcPr>
            <w:tcW w:w="1633" w:type="dxa"/>
          </w:tcPr>
          <w:p w14:paraId="15B1400D" w14:textId="670E839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BF2DE2E"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Der oberärztliche Zusatzaufwand bei der Diagnostik und Behandlung schwieriger Patienten ist abrechnungsfähig (zwei Abrechnungsziffern der gleichen Berufsgruppe an einem Tag). </w:t>
            </w:r>
          </w:p>
          <w:p w14:paraId="3F42720A" w14:textId="75CA29EE"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Bei evtl. Nachfrage des Kostenträgers reicht die Bestätigung der </w:t>
            </w:r>
            <w:r>
              <w:rPr>
                <w:rFonts w:ascii="Arial" w:hAnsi="Arial" w:cs="Arial"/>
                <w:color w:val="000000" w:themeColor="text1"/>
                <w:sz w:val="22"/>
              </w:rPr>
              <w:t>Institutsambulanz</w:t>
            </w:r>
            <w:r w:rsidRPr="00955618">
              <w:rPr>
                <w:rFonts w:ascii="Arial" w:hAnsi="Arial" w:cs="Arial"/>
                <w:color w:val="000000" w:themeColor="text1"/>
                <w:sz w:val="22"/>
              </w:rPr>
              <w:t>, dass es sich um die Konstellation „Diagnostik und Behandlung schwieriger Patienten“ handelt.</w:t>
            </w:r>
          </w:p>
        </w:tc>
        <w:tc>
          <w:tcPr>
            <w:tcW w:w="2867" w:type="dxa"/>
          </w:tcPr>
          <w:p w14:paraId="731DAF9D" w14:textId="77777777" w:rsidR="00D459C7" w:rsidRPr="00955618" w:rsidRDefault="00D459C7" w:rsidP="00D459C7">
            <w:pPr>
              <w:rPr>
                <w:rFonts w:ascii="Arial" w:hAnsi="Arial" w:cs="Arial"/>
                <w:color w:val="000000" w:themeColor="text1"/>
                <w:sz w:val="22"/>
              </w:rPr>
            </w:pPr>
          </w:p>
        </w:tc>
        <w:tc>
          <w:tcPr>
            <w:tcW w:w="1357" w:type="dxa"/>
          </w:tcPr>
          <w:p w14:paraId="54E70CE6" w14:textId="77777777" w:rsidR="00D459C7" w:rsidRPr="00955618" w:rsidRDefault="00D459C7" w:rsidP="00D459C7">
            <w:pPr>
              <w:rPr>
                <w:rFonts w:ascii="Arial" w:hAnsi="Arial" w:cs="Arial"/>
                <w:color w:val="000000" w:themeColor="text1"/>
                <w:sz w:val="22"/>
              </w:rPr>
            </w:pPr>
          </w:p>
        </w:tc>
      </w:tr>
      <w:tr w:rsidR="001739DE" w:rsidRPr="00955618" w14:paraId="1C790B97" w14:textId="77777777" w:rsidTr="004D1CE4">
        <w:trPr>
          <w:trHeight w:val="515"/>
        </w:trPr>
        <w:tc>
          <w:tcPr>
            <w:tcW w:w="3049" w:type="dxa"/>
          </w:tcPr>
          <w:p w14:paraId="35376F1A"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Dolmetscher</w:t>
            </w:r>
          </w:p>
          <w:p w14:paraId="2AAE0C97"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2.2.4</w:t>
            </w:r>
          </w:p>
        </w:tc>
        <w:tc>
          <w:tcPr>
            <w:tcW w:w="1633" w:type="dxa"/>
          </w:tcPr>
          <w:p w14:paraId="7225D604" w14:textId="08486EE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30905D80"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Leistungen eines Dolmetschers fallen nicht in den Zuständigkeitsbereich der GKV.</w:t>
            </w:r>
          </w:p>
        </w:tc>
        <w:tc>
          <w:tcPr>
            <w:tcW w:w="2867" w:type="dxa"/>
          </w:tcPr>
          <w:p w14:paraId="2D5FCFB1" w14:textId="77777777" w:rsidR="00D459C7" w:rsidRPr="00955618" w:rsidRDefault="00D459C7" w:rsidP="00D459C7">
            <w:pPr>
              <w:rPr>
                <w:rFonts w:ascii="Arial" w:hAnsi="Arial" w:cs="Arial"/>
                <w:color w:val="000000" w:themeColor="text1"/>
                <w:sz w:val="22"/>
              </w:rPr>
            </w:pPr>
          </w:p>
        </w:tc>
        <w:tc>
          <w:tcPr>
            <w:tcW w:w="1357" w:type="dxa"/>
          </w:tcPr>
          <w:p w14:paraId="4FAF8B1F" w14:textId="77777777" w:rsidR="00D459C7" w:rsidRPr="00955618" w:rsidRDefault="00D459C7" w:rsidP="00D459C7">
            <w:pPr>
              <w:rPr>
                <w:rFonts w:ascii="Arial" w:hAnsi="Arial" w:cs="Arial"/>
                <w:color w:val="000000" w:themeColor="text1"/>
                <w:sz w:val="22"/>
              </w:rPr>
            </w:pPr>
          </w:p>
        </w:tc>
      </w:tr>
      <w:tr w:rsidR="001739DE" w:rsidRPr="00955618" w14:paraId="4B2BA5AA" w14:textId="77777777" w:rsidTr="004D1CE4">
        <w:trPr>
          <w:trHeight w:val="1130"/>
        </w:trPr>
        <w:tc>
          <w:tcPr>
            <w:tcW w:w="3049" w:type="dxa"/>
            <w:tcBorders>
              <w:bottom w:val="single" w:sz="4" w:space="0" w:color="auto"/>
            </w:tcBorders>
          </w:tcPr>
          <w:p w14:paraId="1FE019FA"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lastRenderedPageBreak/>
              <w:t>Entlassungstag</w:t>
            </w:r>
          </w:p>
          <w:p w14:paraId="73513C39"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1.3.3</w:t>
            </w:r>
          </w:p>
        </w:tc>
        <w:tc>
          <w:tcPr>
            <w:tcW w:w="1633" w:type="dxa"/>
            <w:tcBorders>
              <w:bottom w:val="single" w:sz="4" w:space="0" w:color="auto"/>
            </w:tcBorders>
          </w:tcPr>
          <w:p w14:paraId="44A4DFA4" w14:textId="6D43F17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04247B83"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Leistungen am Entlassungstag aus der eigenen Klinik sind grundsätzlich nicht abrechnungsfähig, die üblichen zur guten Praxis gehörenden Leistungen wie Übergabegespräch, Terminvereinbarung, Rezeptausstellung, etc. sind durch den stationären Pflegesatz mit abgegolten.</w:t>
            </w:r>
          </w:p>
          <w:p w14:paraId="06A2F768" w14:textId="77777777"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34FA07B4"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770663B2" w14:textId="77777777" w:rsidR="00D459C7" w:rsidRPr="00955618" w:rsidRDefault="00D459C7" w:rsidP="00D459C7">
            <w:pPr>
              <w:rPr>
                <w:rFonts w:ascii="Arial" w:hAnsi="Arial" w:cs="Arial"/>
                <w:color w:val="000000" w:themeColor="text1"/>
                <w:sz w:val="22"/>
              </w:rPr>
            </w:pPr>
          </w:p>
        </w:tc>
      </w:tr>
      <w:tr w:rsidR="001739DE" w:rsidRPr="00955618" w14:paraId="553B3632" w14:textId="77777777" w:rsidTr="004D1CE4">
        <w:trPr>
          <w:trHeight w:val="1130"/>
        </w:trPr>
        <w:tc>
          <w:tcPr>
            <w:tcW w:w="3049" w:type="dxa"/>
            <w:tcBorders>
              <w:bottom w:val="single" w:sz="4" w:space="0" w:color="auto"/>
            </w:tcBorders>
          </w:tcPr>
          <w:p w14:paraId="647F4A4A"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Erstellung eines Arztbriefes ohne Patientenkontakt</w:t>
            </w:r>
          </w:p>
          <w:p w14:paraId="0251E96E"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2.1.5</w:t>
            </w:r>
          </w:p>
          <w:p w14:paraId="1B74CDB2" w14:textId="77777777" w:rsidR="00D459C7" w:rsidRPr="00955618" w:rsidRDefault="00D459C7" w:rsidP="00D459C7">
            <w:pPr>
              <w:rPr>
                <w:rFonts w:ascii="Arial" w:hAnsi="Arial" w:cs="Arial"/>
                <w:b/>
                <w:bCs/>
                <w:color w:val="000000" w:themeColor="text1"/>
                <w:sz w:val="22"/>
              </w:rPr>
            </w:pPr>
          </w:p>
        </w:tc>
        <w:tc>
          <w:tcPr>
            <w:tcW w:w="1633" w:type="dxa"/>
            <w:tcBorders>
              <w:bottom w:val="single" w:sz="4" w:space="0" w:color="auto"/>
            </w:tcBorders>
          </w:tcPr>
          <w:p w14:paraId="37CC8C47" w14:textId="702AE45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3D2E6000"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Ist die Erstellung eines ausführlichen Arztberichtes/Epikrise erforderlich, ist diese abrechenbar. In begründeten Ausnahmefällen ist diese Leistung auch ohne unmittelbaren Patientenkontakt abrechnungsfähig. Die bereits erbrachte Leistung im Quartal ist mit dem entsprechenden Zeitfaktor zu addieren. Erfolgt diese Leistung in einem Quartal ohne Patientenkontakt, wird nicht die Laborpauschale ausgelöst. </w:t>
            </w:r>
          </w:p>
          <w:p w14:paraId="3725C288" w14:textId="679E40C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Bei evtl. Nachfrage des Kostenträgers reicht die Bestätigung der </w:t>
            </w:r>
            <w:r>
              <w:rPr>
                <w:rFonts w:ascii="Arial" w:hAnsi="Arial" w:cs="Arial"/>
                <w:color w:val="000000" w:themeColor="text1"/>
                <w:sz w:val="22"/>
              </w:rPr>
              <w:t>Institutsambulanz</w:t>
            </w:r>
            <w:r w:rsidRPr="00955618">
              <w:rPr>
                <w:rFonts w:ascii="Arial" w:hAnsi="Arial" w:cs="Arial"/>
                <w:color w:val="000000" w:themeColor="text1"/>
                <w:sz w:val="22"/>
              </w:rPr>
              <w:t>, dass es sich um die Konstellation „Erstellen eines Arztbriefes ohne Patientenkontakt“ handelt.</w:t>
            </w:r>
          </w:p>
          <w:p w14:paraId="3EA4AFC7" w14:textId="77777777" w:rsidR="00D459C7" w:rsidRPr="00955618" w:rsidRDefault="00D459C7" w:rsidP="00D459C7">
            <w:pPr>
              <w:rPr>
                <w:rFonts w:ascii="Arial" w:hAnsi="Arial" w:cs="Arial"/>
                <w:color w:val="000000" w:themeColor="text1"/>
                <w:sz w:val="22"/>
              </w:rPr>
            </w:pPr>
          </w:p>
          <w:p w14:paraId="4EF82D00" w14:textId="77777777"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21E32C53"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23281F08" w14:textId="77777777" w:rsidR="00D459C7" w:rsidRPr="00955618" w:rsidRDefault="00D459C7" w:rsidP="00D459C7">
            <w:pPr>
              <w:rPr>
                <w:rFonts w:ascii="Arial" w:hAnsi="Arial" w:cs="Arial"/>
                <w:color w:val="000000" w:themeColor="text1"/>
                <w:sz w:val="22"/>
              </w:rPr>
            </w:pPr>
          </w:p>
        </w:tc>
      </w:tr>
      <w:tr w:rsidR="001739DE" w:rsidRPr="00955618" w14:paraId="3006DDE7" w14:textId="77777777" w:rsidTr="004D1CE4">
        <w:trPr>
          <w:trHeight w:val="883"/>
        </w:trPr>
        <w:tc>
          <w:tcPr>
            <w:tcW w:w="3049" w:type="dxa"/>
            <w:tcBorders>
              <w:top w:val="single" w:sz="4" w:space="0" w:color="auto"/>
              <w:bottom w:val="nil"/>
            </w:tcBorders>
          </w:tcPr>
          <w:p w14:paraId="5B9AF028"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Fahrzeiten</w:t>
            </w:r>
          </w:p>
          <w:p w14:paraId="61FC201F"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2.7.1</w:t>
            </w:r>
          </w:p>
        </w:tc>
        <w:tc>
          <w:tcPr>
            <w:tcW w:w="1633" w:type="dxa"/>
            <w:tcBorders>
              <w:top w:val="single" w:sz="4" w:space="0" w:color="auto"/>
              <w:bottom w:val="nil"/>
            </w:tcBorders>
          </w:tcPr>
          <w:p w14:paraId="5F000D4D" w14:textId="33D392CB" w:rsidR="00D459C7" w:rsidRPr="00955618" w:rsidRDefault="00D459C7" w:rsidP="00D459C7">
            <w:pPr>
              <w:jc w:val="center"/>
              <w:rPr>
                <w:rFonts w:ascii="Arial" w:hAnsi="Arial" w:cs="Arial"/>
                <w:color w:val="000000" w:themeColor="text1"/>
                <w:sz w:val="22"/>
              </w:rPr>
            </w:pPr>
          </w:p>
        </w:tc>
        <w:tc>
          <w:tcPr>
            <w:tcW w:w="5831" w:type="dxa"/>
            <w:tcBorders>
              <w:top w:val="single" w:sz="4" w:space="0" w:color="auto"/>
              <w:bottom w:val="nil"/>
            </w:tcBorders>
          </w:tcPr>
          <w:p w14:paraId="200B322B" w14:textId="5B789C3C"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Probleme ergeben sich bei der Abrechnung von regelmäßig anfallenden Fahrzeiten, wenn der Arzt eine Patientengemeinschaft besucht, deren Mitglieder unterschiedlichen Kassen angehören. Hier erfolgt keine Aufteilung der Fahrzeiten auf die beteiligten Krankenkassen. Vielmehr ist in einem roulierenden Verfahren den beteiligten Krankenkassen der Gesamtzeit in Rechnung zu stellen. So ist gewährleistet, dass jede beteiligte Krankenkasse an den Fahrzeiten beteiligt wird. Wird der Patient nach vorheriger Absprache zu Hause nicht erreicht, sind die Fahrzeiten dennoch abrechnungsfähig. Eine entsprechende Begründung ist in den Unterlagen zu hinterlegen.</w:t>
            </w:r>
          </w:p>
        </w:tc>
        <w:tc>
          <w:tcPr>
            <w:tcW w:w="2867" w:type="dxa"/>
            <w:tcBorders>
              <w:top w:val="single" w:sz="4" w:space="0" w:color="auto"/>
              <w:bottom w:val="nil"/>
            </w:tcBorders>
          </w:tcPr>
          <w:p w14:paraId="68906460" w14:textId="3B9878F1" w:rsidR="00D459C7" w:rsidRPr="00955618" w:rsidRDefault="005551AF" w:rsidP="00D459C7">
            <w:pPr>
              <w:rPr>
                <w:rFonts w:ascii="Arial" w:hAnsi="Arial" w:cs="Arial"/>
                <w:color w:val="000000" w:themeColor="text1"/>
                <w:sz w:val="22"/>
              </w:rPr>
            </w:pPr>
            <w:r>
              <w:rPr>
                <w:rFonts w:ascii="Arial" w:hAnsi="Arial" w:cs="Arial"/>
                <w:color w:val="000000" w:themeColor="text1"/>
                <w:sz w:val="22"/>
              </w:rPr>
              <w:t>Auch Pkte. 2.3.4, 2.7.2</w:t>
            </w:r>
          </w:p>
          <w:p w14:paraId="06679F0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 Parallele Behandlung, aufsuchen durch zwei Berufsgruppen </w:t>
            </w:r>
          </w:p>
          <w:p w14:paraId="504C9573"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Borders>
              <w:top w:val="single" w:sz="4" w:space="0" w:color="auto"/>
              <w:bottom w:val="nil"/>
            </w:tcBorders>
          </w:tcPr>
          <w:p w14:paraId="250E48AD" w14:textId="77777777" w:rsidR="00D459C7" w:rsidRPr="00955618" w:rsidRDefault="00D459C7" w:rsidP="00D459C7">
            <w:pPr>
              <w:rPr>
                <w:rFonts w:ascii="Arial" w:hAnsi="Arial" w:cs="Arial"/>
                <w:color w:val="000000" w:themeColor="text1"/>
                <w:sz w:val="22"/>
              </w:rPr>
            </w:pPr>
          </w:p>
        </w:tc>
      </w:tr>
      <w:tr w:rsidR="001739DE" w:rsidRPr="00955618" w14:paraId="4A5A7D82" w14:textId="77777777" w:rsidTr="004D1CE4">
        <w:trPr>
          <w:trHeight w:val="1256"/>
        </w:trPr>
        <w:tc>
          <w:tcPr>
            <w:tcW w:w="3049" w:type="dxa"/>
            <w:tcBorders>
              <w:top w:val="nil"/>
            </w:tcBorders>
          </w:tcPr>
          <w:p w14:paraId="127BC495" w14:textId="77777777" w:rsidR="00D459C7" w:rsidRPr="00955618" w:rsidRDefault="00D459C7" w:rsidP="00D459C7">
            <w:pPr>
              <w:rPr>
                <w:rFonts w:ascii="Arial" w:hAnsi="Arial" w:cs="Arial"/>
                <w:b/>
                <w:bCs/>
                <w:color w:val="000000" w:themeColor="text1"/>
                <w:sz w:val="22"/>
              </w:rPr>
            </w:pPr>
          </w:p>
        </w:tc>
        <w:tc>
          <w:tcPr>
            <w:tcW w:w="1633" w:type="dxa"/>
            <w:tcBorders>
              <w:top w:val="nil"/>
            </w:tcBorders>
          </w:tcPr>
          <w:p w14:paraId="74BA49CD" w14:textId="77777777" w:rsidR="00D459C7" w:rsidRPr="00955618" w:rsidRDefault="00D459C7" w:rsidP="00D459C7">
            <w:pPr>
              <w:jc w:val="center"/>
              <w:rPr>
                <w:rFonts w:ascii="Arial" w:hAnsi="Arial" w:cs="Arial"/>
                <w:color w:val="000000" w:themeColor="text1"/>
                <w:sz w:val="22"/>
              </w:rPr>
            </w:pPr>
          </w:p>
        </w:tc>
        <w:tc>
          <w:tcPr>
            <w:tcW w:w="5831" w:type="dxa"/>
            <w:tcBorders>
              <w:top w:val="nil"/>
            </w:tcBorders>
          </w:tcPr>
          <w:p w14:paraId="29AE3463" w14:textId="58A6BAF2" w:rsidR="00D459C7" w:rsidRPr="00CE6632"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Als Fahrzeit gilt: Abfahrt von der </w:t>
            </w:r>
            <w:r>
              <w:rPr>
                <w:rFonts w:ascii="Arial" w:hAnsi="Arial" w:cs="Arial"/>
                <w:color w:val="000000" w:themeColor="text1"/>
                <w:sz w:val="22"/>
              </w:rPr>
              <w:t xml:space="preserve">Institutsambulanz  </w:t>
            </w:r>
            <w:r w:rsidRPr="00955618">
              <w:rPr>
                <w:rFonts w:ascii="Arial" w:hAnsi="Arial" w:cs="Arial"/>
                <w:color w:val="000000" w:themeColor="text1"/>
                <w:sz w:val="22"/>
              </w:rPr>
              <w:t xml:space="preserve">(Ausnahme: Wohnort des Therapeuten entsprechend </w:t>
            </w:r>
            <w:r w:rsidRPr="00CE6632">
              <w:rPr>
                <w:rFonts w:ascii="Arial" w:hAnsi="Arial" w:cs="Arial"/>
                <w:color w:val="000000" w:themeColor="text1"/>
                <w:sz w:val="22"/>
              </w:rPr>
              <w:t xml:space="preserve">Festlegung vom 20.10.10) bis zur Wohnung/Aufenthaltsort des ersten Patienten. Werden mehrere Patienten hintereinander aufgesucht, wird die Fahrzeit jeweils zwischen zwei Patienten abgerechnet. Beim letzten </w:t>
            </w:r>
            <w:r w:rsidRPr="00CE6632">
              <w:rPr>
                <w:rFonts w:ascii="Arial" w:hAnsi="Arial" w:cs="Arial"/>
                <w:color w:val="000000" w:themeColor="text1"/>
                <w:sz w:val="22"/>
              </w:rPr>
              <w:lastRenderedPageBreak/>
              <w:t>Patienten wird zusätzlich die Fahrt von dessen Wohnung/Aufenthaltsort zurück zur Institutsambulanz abgerechnet. Dieses Verfahren gilt bei Aufsuchen einzelner Patienten hintereinander.</w:t>
            </w:r>
          </w:p>
          <w:p w14:paraId="1B1C77A2" w14:textId="0F5EBA06" w:rsidR="00D459C7" w:rsidRPr="00955618" w:rsidRDefault="00D459C7" w:rsidP="00D459C7">
            <w:pPr>
              <w:rPr>
                <w:rFonts w:ascii="Arial" w:hAnsi="Arial" w:cs="Arial"/>
                <w:color w:val="000000" w:themeColor="text1"/>
                <w:sz w:val="22"/>
              </w:rPr>
            </w:pPr>
            <w:r w:rsidRPr="00CE6632">
              <w:rPr>
                <w:rFonts w:ascii="Arial" w:hAnsi="Arial" w:cs="Arial"/>
                <w:color w:val="000000" w:themeColor="text1"/>
                <w:sz w:val="22"/>
              </w:rPr>
              <w:t>Werden mehrere Patienten einer therapeutischen Wohngruppe, eines Heimes, etc</w:t>
            </w:r>
            <w:r w:rsidRPr="00955618">
              <w:rPr>
                <w:rFonts w:ascii="Arial" w:hAnsi="Arial" w:cs="Arial"/>
                <w:color w:val="000000" w:themeColor="text1"/>
                <w:sz w:val="22"/>
              </w:rPr>
              <w:t xml:space="preserve">. aufgesucht, gilt weiterhin das roulierende Verfahren für die Abrechnung von Fahrzeiten. Dies bedeutet, dass einem der zu behandelnden Patienten der Einrichtung die Fahrzeit zugeordnet wird und bei einem weiteren Besuch die Zuordnung zu einem anderen Patienten getroffen wird. </w:t>
            </w:r>
          </w:p>
          <w:p w14:paraId="2E264823" w14:textId="77777777" w:rsidR="00D459C7" w:rsidRPr="00955618" w:rsidRDefault="00D459C7" w:rsidP="00D459C7">
            <w:pPr>
              <w:pStyle w:val="Textkrper3"/>
              <w:rPr>
                <w:color w:val="000000" w:themeColor="text1"/>
              </w:rPr>
            </w:pPr>
          </w:p>
          <w:p w14:paraId="0DAA28BB" w14:textId="77777777" w:rsidR="00D459C7" w:rsidRPr="00955618" w:rsidRDefault="00D459C7" w:rsidP="00D459C7">
            <w:pPr>
              <w:pStyle w:val="Textkrper3"/>
              <w:rPr>
                <w:color w:val="000000" w:themeColor="text1"/>
              </w:rPr>
            </w:pPr>
          </w:p>
          <w:p w14:paraId="53E94262" w14:textId="483F5E26" w:rsidR="00D459C7" w:rsidRPr="00955618" w:rsidRDefault="00D459C7" w:rsidP="00D459C7">
            <w:pPr>
              <w:pStyle w:val="Textkrper3"/>
              <w:rPr>
                <w:color w:val="000000" w:themeColor="text1"/>
              </w:rPr>
            </w:pPr>
            <w:r w:rsidRPr="00955618">
              <w:rPr>
                <w:color w:val="000000" w:themeColor="text1"/>
              </w:rPr>
              <w:t xml:space="preserve">Bei evtl. Nachfrage des Kostenträgers bei mehr als einer Fahrt pro Tag beim gleichen Patienten reicht die Bestätigung der </w:t>
            </w:r>
            <w:r>
              <w:rPr>
                <w:color w:val="000000" w:themeColor="text1"/>
              </w:rPr>
              <w:t xml:space="preserve">Institutsambulanz </w:t>
            </w:r>
            <w:r w:rsidRPr="00955618">
              <w:rPr>
                <w:color w:val="000000" w:themeColor="text1"/>
              </w:rPr>
              <w:t>über die Notwendigkeit der Fahrt.</w:t>
            </w:r>
          </w:p>
          <w:p w14:paraId="36A48923"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jeweils tatsächlich angefallene Fahrzeit vom Wohnort des Therapeuten bis zur Wohnung/Aufenthaltsort des Patienten kann zur Abrechnung gebracht werden, wenn hierbei das Wirtschaftlichkeitsgebot beachtet wird.</w:t>
            </w:r>
          </w:p>
          <w:p w14:paraId="612DCDE4" w14:textId="77777777" w:rsidR="00D459C7" w:rsidRPr="00955618" w:rsidRDefault="00D459C7" w:rsidP="00D459C7">
            <w:pPr>
              <w:pStyle w:val="Textkrper"/>
              <w:rPr>
                <w:iCs/>
                <w:color w:val="000000" w:themeColor="text1"/>
              </w:rPr>
            </w:pPr>
            <w:r w:rsidRPr="00955618">
              <w:rPr>
                <w:iCs/>
                <w:color w:val="000000" w:themeColor="text1"/>
              </w:rPr>
              <w:t>Findet die Fahrt zusammen mit dem Patienten statt, hat der Therapeut zu entscheiden, ob es sich dabei um eine Fahrzeit oder Therapiezeit handelt.</w:t>
            </w:r>
          </w:p>
          <w:p w14:paraId="35409D4A" w14:textId="03BC1D4D" w:rsidR="00D459C7" w:rsidRPr="00955618" w:rsidRDefault="00D459C7" w:rsidP="00D459C7">
            <w:pPr>
              <w:rPr>
                <w:rFonts w:ascii="Arial" w:hAnsi="Arial" w:cs="Arial"/>
                <w:color w:val="000000" w:themeColor="text1"/>
                <w:sz w:val="22"/>
              </w:rPr>
            </w:pPr>
            <w:r w:rsidRPr="00955618">
              <w:rPr>
                <w:rFonts w:ascii="Arial" w:hAnsi="Arial" w:cs="Arial"/>
                <w:iCs/>
                <w:color w:val="000000" w:themeColor="text1"/>
                <w:sz w:val="22"/>
              </w:rPr>
              <w:t xml:space="preserve">Bei einer Therapiezeit bedarf dies einer therapeutischen Indikation. Eine Abrechnung erfolgt dann als Behandlungszeit. Reine Hol- und Bringdienste sind </w:t>
            </w:r>
            <w:r w:rsidR="00F97186">
              <w:rPr>
                <w:rFonts w:ascii="Arial" w:hAnsi="Arial" w:cs="Arial"/>
                <w:iCs/>
                <w:color w:val="000000" w:themeColor="text1"/>
                <w:sz w:val="22"/>
              </w:rPr>
              <w:t xml:space="preserve">von der </w:t>
            </w:r>
            <w:r w:rsidRPr="00955618">
              <w:rPr>
                <w:rFonts w:ascii="Arial" w:hAnsi="Arial" w:cs="Arial"/>
                <w:iCs/>
                <w:color w:val="000000" w:themeColor="text1"/>
                <w:sz w:val="22"/>
              </w:rPr>
              <w:t>Abrechnung ausgeschlossen.</w:t>
            </w:r>
          </w:p>
        </w:tc>
        <w:tc>
          <w:tcPr>
            <w:tcW w:w="2867" w:type="dxa"/>
            <w:tcBorders>
              <w:top w:val="nil"/>
            </w:tcBorders>
          </w:tcPr>
          <w:p w14:paraId="0ADEE439" w14:textId="77777777" w:rsidR="00D459C7" w:rsidRPr="00955618" w:rsidRDefault="00D459C7" w:rsidP="00D459C7">
            <w:pPr>
              <w:rPr>
                <w:rFonts w:ascii="Arial" w:hAnsi="Arial" w:cs="Arial"/>
                <w:color w:val="000000" w:themeColor="text1"/>
                <w:sz w:val="22"/>
              </w:rPr>
            </w:pPr>
          </w:p>
        </w:tc>
        <w:tc>
          <w:tcPr>
            <w:tcW w:w="1357" w:type="dxa"/>
            <w:tcBorders>
              <w:top w:val="nil"/>
            </w:tcBorders>
          </w:tcPr>
          <w:p w14:paraId="23E604FF" w14:textId="77777777" w:rsidR="00D459C7" w:rsidRPr="00955618" w:rsidRDefault="00D459C7" w:rsidP="00D459C7">
            <w:pPr>
              <w:rPr>
                <w:rFonts w:ascii="Arial" w:hAnsi="Arial" w:cs="Arial"/>
                <w:color w:val="000000" w:themeColor="text1"/>
                <w:sz w:val="22"/>
              </w:rPr>
            </w:pPr>
          </w:p>
        </w:tc>
      </w:tr>
      <w:tr w:rsidR="001739DE" w:rsidRPr="00955618" w14:paraId="2328CC05" w14:textId="77777777" w:rsidTr="004D1CE4">
        <w:trPr>
          <w:trHeight w:val="897"/>
        </w:trPr>
        <w:tc>
          <w:tcPr>
            <w:tcW w:w="3049" w:type="dxa"/>
          </w:tcPr>
          <w:p w14:paraId="0C8DBA06"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lastRenderedPageBreak/>
              <w:t>Fallbesprechungen</w:t>
            </w:r>
          </w:p>
          <w:p w14:paraId="34262AD5"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2.3.2</w:t>
            </w:r>
          </w:p>
        </w:tc>
        <w:tc>
          <w:tcPr>
            <w:tcW w:w="1633" w:type="dxa"/>
          </w:tcPr>
          <w:p w14:paraId="57F30E05" w14:textId="150FA552"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26DCB75" w14:textId="55FE34DD" w:rsidR="00D459C7" w:rsidRPr="00955618" w:rsidRDefault="00D459C7" w:rsidP="00D459C7">
            <w:pPr>
              <w:pStyle w:val="Textkrper3"/>
              <w:rPr>
                <w:color w:val="000000" w:themeColor="text1"/>
              </w:rPr>
            </w:pPr>
            <w:r w:rsidRPr="00955618">
              <w:rPr>
                <w:color w:val="000000" w:themeColor="text1"/>
              </w:rPr>
              <w:t xml:space="preserve">Der Leistungsinhalt der Ziffer 609 ist dann erfüllt, wenn mind. 4 Mitarbeiter mind. dreier unterschiedlicher Berufsgruppen der </w:t>
            </w:r>
            <w:r>
              <w:rPr>
                <w:color w:val="000000" w:themeColor="text1"/>
              </w:rPr>
              <w:t xml:space="preserve">Institutsambulanz </w:t>
            </w:r>
            <w:r w:rsidRPr="00955618">
              <w:rPr>
                <w:color w:val="000000" w:themeColor="text1"/>
              </w:rPr>
              <w:t>anwesend sind.</w:t>
            </w:r>
          </w:p>
          <w:p w14:paraId="692301B9" w14:textId="7FB21F1A" w:rsidR="00D459C7" w:rsidRPr="00955618" w:rsidRDefault="00D459C7" w:rsidP="00D459C7">
            <w:pPr>
              <w:pStyle w:val="Textkrper"/>
              <w:rPr>
                <w:color w:val="000000" w:themeColor="text1"/>
              </w:rPr>
            </w:pPr>
            <w:r w:rsidRPr="00955618">
              <w:rPr>
                <w:color w:val="000000" w:themeColor="text1"/>
              </w:rPr>
              <w:t xml:space="preserve">Der Leistungsinhalt der Ziffer 600 ist dann erfüllt, wenn mind. 3 Mitarbeiter mind. zweier unterschiedlicher Berufsgruppen der </w:t>
            </w:r>
            <w:r>
              <w:rPr>
                <w:color w:val="000000" w:themeColor="text1"/>
              </w:rPr>
              <w:t xml:space="preserve">Institutsambulanz </w:t>
            </w:r>
            <w:r w:rsidRPr="00955618">
              <w:rPr>
                <w:color w:val="000000" w:themeColor="text1"/>
              </w:rPr>
              <w:t xml:space="preserve">anwesend sind. </w:t>
            </w:r>
          </w:p>
          <w:p w14:paraId="01A56CD5" w14:textId="77777777" w:rsidR="00D459C7" w:rsidRPr="00955618" w:rsidRDefault="00D459C7" w:rsidP="00D459C7">
            <w:pPr>
              <w:pStyle w:val="Textkrper"/>
              <w:rPr>
                <w:color w:val="000000" w:themeColor="text1"/>
              </w:rPr>
            </w:pPr>
          </w:p>
          <w:p w14:paraId="424CC9B2" w14:textId="493243C5" w:rsidR="00D459C7" w:rsidRPr="00955618" w:rsidRDefault="00D459C7" w:rsidP="00D459C7">
            <w:pPr>
              <w:pStyle w:val="Textkrper"/>
              <w:rPr>
                <w:color w:val="000000" w:themeColor="text1"/>
              </w:rPr>
            </w:pPr>
            <w:r w:rsidRPr="00955618">
              <w:rPr>
                <w:color w:val="000000" w:themeColor="text1"/>
              </w:rPr>
              <w:t>Bei Unterschreitung dieser Vorgaben bezüglich einer Teambesprechung sind maximal 2 Mitarbeiter mit jeweils maximal 10 Minuten einzeln abrechnungsfähig.</w:t>
            </w:r>
          </w:p>
          <w:p w14:paraId="0D286454" w14:textId="77777777" w:rsidR="00D459C7" w:rsidRPr="00955618" w:rsidRDefault="00D459C7" w:rsidP="00D459C7">
            <w:pPr>
              <w:pStyle w:val="Textkrper2"/>
              <w:rPr>
                <w:rFonts w:cs="Arial"/>
                <w:color w:val="000000" w:themeColor="text1"/>
              </w:rPr>
            </w:pPr>
            <w:r w:rsidRPr="00955618">
              <w:rPr>
                <w:rFonts w:cs="Arial"/>
                <w:color w:val="000000" w:themeColor="text1"/>
              </w:rPr>
              <w:t>Die Abrechnung einer Fallbesprechung muss im unmittelbaren zeitlichen Zusammenha</w:t>
            </w:r>
            <w:r>
              <w:rPr>
                <w:rFonts w:cs="Arial"/>
                <w:color w:val="000000" w:themeColor="text1"/>
              </w:rPr>
              <w:t>ng mit einem/mehreren Patienten</w:t>
            </w:r>
            <w:r w:rsidRPr="00955618">
              <w:rPr>
                <w:rFonts w:cs="Arial"/>
                <w:color w:val="000000" w:themeColor="text1"/>
              </w:rPr>
              <w:t xml:space="preserve">kontakten stehen. </w:t>
            </w:r>
          </w:p>
          <w:p w14:paraId="619DA7A8" w14:textId="62BCCB8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Abrechnung einer Fallbesprechung ohne Patientenkontakt auch im vorangegangenen Quartal ist nicht zulässig.</w:t>
            </w:r>
          </w:p>
          <w:p w14:paraId="08B4F0BD"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Zusätzlich oder alternativ zu Fallbesprechungen sind auch Verlaufsbesprechungen möglich und abrechenbar.</w:t>
            </w:r>
          </w:p>
          <w:p w14:paraId="7835BA42" w14:textId="3EF99AD0" w:rsidR="00D459C7" w:rsidRPr="00955618" w:rsidRDefault="00D459C7" w:rsidP="00D459C7">
            <w:pPr>
              <w:rPr>
                <w:rFonts w:ascii="Arial" w:hAnsi="Arial" w:cs="Arial"/>
                <w:color w:val="000000" w:themeColor="text1"/>
                <w:sz w:val="22"/>
              </w:rPr>
            </w:pPr>
          </w:p>
        </w:tc>
        <w:tc>
          <w:tcPr>
            <w:tcW w:w="2867" w:type="dxa"/>
          </w:tcPr>
          <w:p w14:paraId="4D994A61" w14:textId="77777777" w:rsidR="00D459C7" w:rsidRPr="00955618" w:rsidRDefault="00D459C7" w:rsidP="00D459C7">
            <w:pPr>
              <w:rPr>
                <w:rFonts w:ascii="Arial" w:hAnsi="Arial" w:cs="Arial"/>
                <w:color w:val="000000" w:themeColor="text1"/>
                <w:sz w:val="22"/>
              </w:rPr>
            </w:pPr>
          </w:p>
          <w:p w14:paraId="0CC75710" w14:textId="77777777" w:rsidR="00D459C7" w:rsidRPr="00955618" w:rsidRDefault="00D459C7" w:rsidP="00D459C7">
            <w:pPr>
              <w:rPr>
                <w:rFonts w:ascii="Arial" w:hAnsi="Arial" w:cs="Arial"/>
                <w:color w:val="000000" w:themeColor="text1"/>
                <w:sz w:val="22"/>
              </w:rPr>
            </w:pPr>
          </w:p>
          <w:p w14:paraId="5663C2E6" w14:textId="77777777" w:rsidR="00D459C7" w:rsidRPr="00955618" w:rsidRDefault="00D459C7" w:rsidP="00D459C7">
            <w:pPr>
              <w:rPr>
                <w:rFonts w:ascii="Arial" w:hAnsi="Arial" w:cs="Arial"/>
                <w:color w:val="000000" w:themeColor="text1"/>
                <w:sz w:val="22"/>
              </w:rPr>
            </w:pPr>
          </w:p>
          <w:p w14:paraId="4C38D356" w14:textId="77777777" w:rsidR="00D459C7" w:rsidRPr="00955618" w:rsidRDefault="00D459C7" w:rsidP="00D459C7">
            <w:pPr>
              <w:rPr>
                <w:rFonts w:ascii="Arial" w:hAnsi="Arial" w:cs="Arial"/>
                <w:color w:val="000000" w:themeColor="text1"/>
                <w:sz w:val="22"/>
              </w:rPr>
            </w:pPr>
          </w:p>
          <w:p w14:paraId="3B1065A8" w14:textId="77777777" w:rsidR="00D459C7" w:rsidRPr="00955618" w:rsidRDefault="00D459C7" w:rsidP="00D459C7">
            <w:pPr>
              <w:rPr>
                <w:rFonts w:ascii="Arial" w:hAnsi="Arial" w:cs="Arial"/>
                <w:color w:val="000000" w:themeColor="text1"/>
                <w:sz w:val="22"/>
              </w:rPr>
            </w:pPr>
          </w:p>
          <w:p w14:paraId="7F18A895" w14:textId="77777777" w:rsidR="00D459C7" w:rsidRPr="00955618" w:rsidRDefault="00D459C7" w:rsidP="00D459C7">
            <w:pPr>
              <w:rPr>
                <w:rFonts w:ascii="Arial" w:hAnsi="Arial" w:cs="Arial"/>
                <w:color w:val="000000" w:themeColor="text1"/>
                <w:sz w:val="22"/>
              </w:rPr>
            </w:pPr>
          </w:p>
          <w:p w14:paraId="70085210" w14:textId="77777777" w:rsidR="00D459C7" w:rsidRPr="00955618" w:rsidRDefault="00D459C7" w:rsidP="00D459C7">
            <w:pPr>
              <w:rPr>
                <w:rFonts w:ascii="Arial" w:hAnsi="Arial" w:cs="Arial"/>
                <w:color w:val="000000" w:themeColor="text1"/>
                <w:sz w:val="22"/>
              </w:rPr>
            </w:pPr>
          </w:p>
          <w:p w14:paraId="0A412C6C" w14:textId="77777777" w:rsidR="00D459C7" w:rsidRPr="00955618" w:rsidRDefault="00D459C7" w:rsidP="00D459C7">
            <w:pPr>
              <w:rPr>
                <w:rFonts w:ascii="Arial" w:hAnsi="Arial" w:cs="Arial"/>
                <w:color w:val="000000" w:themeColor="text1"/>
                <w:sz w:val="22"/>
              </w:rPr>
            </w:pPr>
          </w:p>
          <w:p w14:paraId="0151E169" w14:textId="77777777" w:rsidR="00D459C7" w:rsidRPr="00955618" w:rsidRDefault="00D459C7" w:rsidP="00D459C7">
            <w:pPr>
              <w:rPr>
                <w:rFonts w:ascii="Arial" w:hAnsi="Arial" w:cs="Arial"/>
                <w:color w:val="000000" w:themeColor="text1"/>
                <w:sz w:val="22"/>
              </w:rPr>
            </w:pPr>
          </w:p>
          <w:p w14:paraId="3D413922" w14:textId="77777777" w:rsidR="00D459C7" w:rsidRPr="00955618" w:rsidRDefault="00D459C7" w:rsidP="00D459C7">
            <w:pPr>
              <w:rPr>
                <w:rFonts w:ascii="Arial" w:hAnsi="Arial" w:cs="Arial"/>
                <w:color w:val="000000" w:themeColor="text1"/>
                <w:sz w:val="22"/>
              </w:rPr>
            </w:pPr>
          </w:p>
          <w:p w14:paraId="0A39ABD7" w14:textId="77777777" w:rsidR="00D459C7" w:rsidRPr="00955618" w:rsidRDefault="00D459C7" w:rsidP="00D459C7">
            <w:pPr>
              <w:rPr>
                <w:rFonts w:ascii="Arial" w:hAnsi="Arial" w:cs="Arial"/>
                <w:color w:val="000000" w:themeColor="text1"/>
                <w:sz w:val="22"/>
              </w:rPr>
            </w:pPr>
          </w:p>
          <w:p w14:paraId="618217EB" w14:textId="77777777" w:rsidR="00D459C7" w:rsidRPr="00955618" w:rsidRDefault="00D459C7" w:rsidP="00D459C7">
            <w:pPr>
              <w:rPr>
                <w:rFonts w:ascii="Arial" w:hAnsi="Arial" w:cs="Arial"/>
                <w:color w:val="000000" w:themeColor="text1"/>
                <w:sz w:val="22"/>
              </w:rPr>
            </w:pPr>
          </w:p>
          <w:p w14:paraId="56DC70C8" w14:textId="77777777" w:rsidR="00D459C7" w:rsidRPr="00955618" w:rsidRDefault="00D459C7" w:rsidP="00D459C7">
            <w:pPr>
              <w:rPr>
                <w:rFonts w:ascii="Arial" w:hAnsi="Arial" w:cs="Arial"/>
                <w:color w:val="000000" w:themeColor="text1"/>
                <w:sz w:val="22"/>
              </w:rPr>
            </w:pPr>
          </w:p>
          <w:p w14:paraId="55DA9C9A" w14:textId="77777777" w:rsidR="00D459C7" w:rsidRPr="00955618" w:rsidRDefault="00D459C7" w:rsidP="00D459C7">
            <w:pPr>
              <w:rPr>
                <w:rFonts w:ascii="Arial" w:hAnsi="Arial" w:cs="Arial"/>
                <w:color w:val="000000" w:themeColor="text1"/>
                <w:sz w:val="22"/>
              </w:rPr>
            </w:pPr>
          </w:p>
          <w:p w14:paraId="3EB6A506" w14:textId="77777777" w:rsidR="00D459C7" w:rsidRPr="00955618" w:rsidRDefault="00D459C7" w:rsidP="00D459C7">
            <w:pPr>
              <w:rPr>
                <w:rFonts w:ascii="Arial" w:hAnsi="Arial" w:cs="Arial"/>
                <w:color w:val="000000" w:themeColor="text1"/>
                <w:sz w:val="22"/>
              </w:rPr>
            </w:pPr>
          </w:p>
          <w:p w14:paraId="7FE5B24A" w14:textId="13CA0BA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auch Pkt. </w:t>
            </w:r>
            <w:r w:rsidR="005551AF">
              <w:rPr>
                <w:rFonts w:ascii="Arial" w:hAnsi="Arial" w:cs="Arial"/>
                <w:color w:val="000000" w:themeColor="text1"/>
                <w:sz w:val="22"/>
              </w:rPr>
              <w:t xml:space="preserve">2.3.5 </w:t>
            </w:r>
            <w:r w:rsidRPr="00955618">
              <w:rPr>
                <w:rFonts w:ascii="Arial" w:hAnsi="Arial" w:cs="Arial"/>
                <w:color w:val="000000" w:themeColor="text1"/>
                <w:sz w:val="22"/>
              </w:rPr>
              <w:t>„Verlaufsbesprechung“</w:t>
            </w:r>
          </w:p>
          <w:p w14:paraId="29F5BC4B"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Pr>
          <w:p w14:paraId="53454304" w14:textId="77777777" w:rsidR="00D459C7" w:rsidRPr="00955618" w:rsidRDefault="00D459C7" w:rsidP="00D459C7">
            <w:pPr>
              <w:rPr>
                <w:rFonts w:ascii="Arial" w:hAnsi="Arial" w:cs="Arial"/>
                <w:color w:val="000000" w:themeColor="text1"/>
                <w:sz w:val="22"/>
              </w:rPr>
            </w:pPr>
          </w:p>
        </w:tc>
      </w:tr>
      <w:tr w:rsidR="001739DE" w:rsidRPr="00955618" w14:paraId="65AF67B4" w14:textId="77777777" w:rsidTr="004D1CE4">
        <w:trPr>
          <w:trHeight w:val="851"/>
        </w:trPr>
        <w:tc>
          <w:tcPr>
            <w:tcW w:w="3049" w:type="dxa"/>
          </w:tcPr>
          <w:p w14:paraId="741C26B3" w14:textId="4AE92B69" w:rsidR="00D459C7" w:rsidRPr="00B86D33" w:rsidRDefault="00D459C7" w:rsidP="00D459C7">
            <w:pPr>
              <w:pStyle w:val="berschrift1"/>
              <w:spacing w:before="0"/>
              <w:rPr>
                <w:rFonts w:ascii="Arial" w:eastAsia="Times New Roman" w:hAnsi="Arial" w:cs="Arial"/>
                <w:sz w:val="22"/>
                <w:szCs w:val="24"/>
              </w:rPr>
            </w:pPr>
            <w:r>
              <w:lastRenderedPageBreak/>
              <w:br w:type="page"/>
            </w:r>
            <w:r w:rsidRPr="00B86D33">
              <w:rPr>
                <w:rFonts w:ascii="Arial" w:eastAsia="Times New Roman" w:hAnsi="Arial" w:cs="Arial"/>
                <w:sz w:val="22"/>
                <w:szCs w:val="24"/>
              </w:rPr>
              <w:t>Gruppenleistungen/</w:t>
            </w:r>
          </w:p>
          <w:p w14:paraId="77058CE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Angehörigengruppe</w:t>
            </w:r>
          </w:p>
          <w:p w14:paraId="2AFC2928"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2.4.3</w:t>
            </w:r>
          </w:p>
        </w:tc>
        <w:tc>
          <w:tcPr>
            <w:tcW w:w="1633" w:type="dxa"/>
          </w:tcPr>
          <w:p w14:paraId="0EEF5D6F" w14:textId="58BBA4EB"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FE01570" w14:textId="513D92A1"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Die Abrechnung von Leistungen in einer Angehörigengruppe ist für solche Teilnehmer möglich, deren kranker Angehöriger Patient der </w:t>
            </w:r>
            <w:r>
              <w:rPr>
                <w:rFonts w:ascii="Arial" w:hAnsi="Arial" w:cs="Arial"/>
                <w:color w:val="000000" w:themeColor="text1"/>
                <w:sz w:val="22"/>
              </w:rPr>
              <w:t xml:space="preserve">Institutsambulanz </w:t>
            </w:r>
            <w:r w:rsidRPr="00955618">
              <w:rPr>
                <w:rFonts w:ascii="Arial" w:hAnsi="Arial" w:cs="Arial"/>
                <w:color w:val="000000" w:themeColor="text1"/>
                <w:sz w:val="22"/>
              </w:rPr>
              <w:t xml:space="preserve">ist. Die von den Mitarbeitern </w:t>
            </w:r>
            <w:r>
              <w:rPr>
                <w:rFonts w:ascii="Arial" w:hAnsi="Arial" w:cs="Arial"/>
                <w:color w:val="000000" w:themeColor="text1"/>
                <w:sz w:val="22"/>
              </w:rPr>
              <w:t xml:space="preserve">der Institutsambulanz </w:t>
            </w:r>
            <w:r w:rsidRPr="00955618">
              <w:rPr>
                <w:rFonts w:ascii="Arial" w:hAnsi="Arial" w:cs="Arial"/>
                <w:color w:val="000000" w:themeColor="text1"/>
                <w:sz w:val="22"/>
              </w:rPr>
              <w:t>in der Gruppe erbrachten Leistungen werden dem jeweiligen Patienten zugeordnet.</w:t>
            </w:r>
          </w:p>
          <w:p w14:paraId="22A32050" w14:textId="77777777" w:rsidR="00D459C7" w:rsidRPr="00955618" w:rsidRDefault="00D459C7" w:rsidP="00D459C7">
            <w:pPr>
              <w:rPr>
                <w:rFonts w:ascii="Arial" w:hAnsi="Arial" w:cs="Arial"/>
                <w:color w:val="000000" w:themeColor="text1"/>
                <w:sz w:val="22"/>
              </w:rPr>
            </w:pPr>
          </w:p>
          <w:p w14:paraId="671B607F" w14:textId="422F0022"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Teilnahme eines Angehörigen eines Patienten</w:t>
            </w:r>
            <w:r>
              <w:rPr>
                <w:rFonts w:ascii="Arial" w:hAnsi="Arial" w:cs="Arial"/>
                <w:color w:val="000000" w:themeColor="text1"/>
                <w:sz w:val="22"/>
              </w:rPr>
              <w:t xml:space="preserve"> der Institutsambulanz</w:t>
            </w:r>
            <w:r w:rsidRPr="00955618">
              <w:rPr>
                <w:rFonts w:ascii="Arial" w:hAnsi="Arial" w:cs="Arial"/>
                <w:color w:val="000000" w:themeColor="text1"/>
                <w:sz w:val="22"/>
              </w:rPr>
              <w:t xml:space="preserve"> an einer (gemischten) Angehörigengruppe während der Patient selbst stationär ist, kann nicht abgerechnet werden, da die Gruppe in diesem Fall zum Angebotsspektrum der stationären Behandlung gehört.</w:t>
            </w:r>
          </w:p>
          <w:p w14:paraId="2051D443" w14:textId="250465E3"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Die tatsächliche Teilnehmerzahl einer Gruppe – dies gilt für alle Gruppen einer </w:t>
            </w:r>
            <w:r>
              <w:rPr>
                <w:rFonts w:ascii="Arial" w:hAnsi="Arial" w:cs="Arial"/>
                <w:color w:val="000000" w:themeColor="text1"/>
                <w:sz w:val="22"/>
              </w:rPr>
              <w:t xml:space="preserve">Institutsambulanz </w:t>
            </w:r>
            <w:r w:rsidRPr="00955618">
              <w:rPr>
                <w:rFonts w:ascii="Arial" w:hAnsi="Arial" w:cs="Arial"/>
                <w:color w:val="000000" w:themeColor="text1"/>
                <w:sz w:val="22"/>
              </w:rPr>
              <w:t>– legt fest, ob die Gruppe als Klein- oder Großgruppe abzurechnen ist. Der Teiler bezieht sich also auf die Größe der Gesamtgruppe. Dies gilt auch für gemischte Gruppen aus stationären/ambulanten Patienten.</w:t>
            </w:r>
          </w:p>
          <w:p w14:paraId="7E48C5EF" w14:textId="18CA0403"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Der therapeutische Verlauf muss aus der Dokumentation nachvollzogen werden können. Als Mindeststandard bei Gruppenbehandlungen wird die Dokumentation des Behandlungstages, der Zeitdauer und des Themas in der Patientenakte angesehen. Der inhaltliche Verlauf kann anhand einer zeitlichen Zusammenfassung mehrerer Termine dokumentiert werden.</w:t>
            </w:r>
          </w:p>
        </w:tc>
        <w:tc>
          <w:tcPr>
            <w:tcW w:w="2867" w:type="dxa"/>
          </w:tcPr>
          <w:p w14:paraId="48DE597C" w14:textId="77777777" w:rsidR="00D459C7" w:rsidRPr="00955618" w:rsidRDefault="00D459C7" w:rsidP="00D459C7">
            <w:pPr>
              <w:rPr>
                <w:rFonts w:ascii="Arial" w:hAnsi="Arial" w:cs="Arial"/>
                <w:color w:val="000000" w:themeColor="text1"/>
                <w:sz w:val="22"/>
              </w:rPr>
            </w:pPr>
          </w:p>
        </w:tc>
        <w:tc>
          <w:tcPr>
            <w:tcW w:w="1357" w:type="dxa"/>
          </w:tcPr>
          <w:p w14:paraId="151BC709" w14:textId="77777777" w:rsidR="00D459C7" w:rsidRPr="00955618" w:rsidRDefault="00D459C7" w:rsidP="00D459C7">
            <w:pPr>
              <w:rPr>
                <w:rFonts w:ascii="Arial" w:hAnsi="Arial" w:cs="Arial"/>
                <w:color w:val="000000" w:themeColor="text1"/>
                <w:sz w:val="22"/>
              </w:rPr>
            </w:pPr>
          </w:p>
        </w:tc>
      </w:tr>
      <w:tr w:rsidR="001739DE" w:rsidRPr="00955618" w14:paraId="35B80854" w14:textId="77777777" w:rsidTr="004D1CE4">
        <w:trPr>
          <w:trHeight w:val="1256"/>
        </w:trPr>
        <w:tc>
          <w:tcPr>
            <w:tcW w:w="3049" w:type="dxa"/>
          </w:tcPr>
          <w:p w14:paraId="152A5084" w14:textId="77777777" w:rsidR="00D459C7" w:rsidRPr="00955618" w:rsidRDefault="00D459C7" w:rsidP="00D459C7">
            <w:pPr>
              <w:rPr>
                <w:rFonts w:ascii="Arial" w:hAnsi="Arial" w:cs="Arial"/>
                <w:bCs/>
                <w:color w:val="000000" w:themeColor="text1"/>
                <w:sz w:val="22"/>
              </w:rPr>
            </w:pPr>
            <w:r w:rsidRPr="00955618">
              <w:rPr>
                <w:rFonts w:ascii="Arial" w:hAnsi="Arial" w:cs="Arial"/>
                <w:b/>
                <w:bCs/>
                <w:color w:val="000000" w:themeColor="text1"/>
                <w:sz w:val="22"/>
              </w:rPr>
              <w:t>Heilmittelverordnung ohne Patientenkontakt</w:t>
            </w:r>
          </w:p>
          <w:p w14:paraId="135F8F8E"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2.1.14</w:t>
            </w:r>
          </w:p>
        </w:tc>
        <w:tc>
          <w:tcPr>
            <w:tcW w:w="1633" w:type="dxa"/>
          </w:tcPr>
          <w:p w14:paraId="73FBFC3A" w14:textId="2FD19F43"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5081FE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Bei jeder Verordnung von Heilmitteln ist die Heilmittelrichtlinie und das Wirtschaftlichkeitsgebot zu beachten. </w:t>
            </w:r>
          </w:p>
          <w:p w14:paraId="43BCAADF" w14:textId="77777777" w:rsidR="00D459C7" w:rsidRPr="00955618" w:rsidRDefault="00D459C7" w:rsidP="00D459C7">
            <w:pPr>
              <w:rPr>
                <w:rFonts w:ascii="Arial" w:hAnsi="Arial" w:cs="Arial"/>
                <w:color w:val="000000" w:themeColor="text1"/>
                <w:sz w:val="22"/>
              </w:rPr>
            </w:pPr>
          </w:p>
          <w:p w14:paraId="37F41191" w14:textId="5C54F32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Aber nicht jede Verordnung von Heilmitteln löst eine Abrechnung aus. Nach der Anforderung einer Heilmittelverordnung durch den Patienten oder einen durch ihn bevollmächtigten Dritten berechtigt das Ausstellen einer Heilmittelverordnung ohne ärztlichen Patientenkontakt nur dann zur Abrechnung der Geb.-Ziff. 110 bzw.</w:t>
            </w:r>
            <w:r w:rsidR="00283967">
              <w:rPr>
                <w:rFonts w:ascii="Arial" w:hAnsi="Arial" w:cs="Arial"/>
                <w:color w:val="000000" w:themeColor="text1"/>
                <w:sz w:val="22"/>
              </w:rPr>
              <w:t xml:space="preserve"> </w:t>
            </w:r>
            <w:r w:rsidRPr="00955618">
              <w:rPr>
                <w:rFonts w:ascii="Arial" w:hAnsi="Arial" w:cs="Arial"/>
                <w:color w:val="000000" w:themeColor="text1"/>
                <w:sz w:val="22"/>
              </w:rPr>
              <w:t>0110, wenn folgende Voraussetzungen erfüllt sind:</w:t>
            </w:r>
          </w:p>
          <w:p w14:paraId="2952B860" w14:textId="77777777" w:rsidR="00D459C7" w:rsidRPr="00955618" w:rsidRDefault="00D459C7" w:rsidP="00D459C7">
            <w:pPr>
              <w:rPr>
                <w:rFonts w:ascii="Arial" w:hAnsi="Arial" w:cs="Arial"/>
                <w:color w:val="000000" w:themeColor="text1"/>
                <w:sz w:val="22"/>
              </w:rPr>
            </w:pPr>
          </w:p>
          <w:p w14:paraId="65780667" w14:textId="08F2324D"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lastRenderedPageBreak/>
              <w:t>1. Es handelt sich um die Folgeverordnung des Heilmittels</w:t>
            </w:r>
            <w:r>
              <w:rPr>
                <w:rFonts w:ascii="Arial" w:hAnsi="Arial" w:cs="Arial"/>
                <w:color w:val="000000" w:themeColor="text1"/>
                <w:sz w:val="22"/>
              </w:rPr>
              <w:t>, und</w:t>
            </w:r>
          </w:p>
          <w:p w14:paraId="489A7ADA" w14:textId="2FB430F3"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2. </w:t>
            </w:r>
            <w:r>
              <w:rPr>
                <w:rFonts w:ascii="Arial" w:hAnsi="Arial" w:cs="Arial"/>
                <w:color w:val="000000" w:themeColor="text1"/>
                <w:sz w:val="22"/>
              </w:rPr>
              <w:t>b</w:t>
            </w:r>
            <w:r w:rsidRPr="00955618">
              <w:rPr>
                <w:rFonts w:ascii="Arial" w:hAnsi="Arial" w:cs="Arial"/>
                <w:color w:val="000000" w:themeColor="text1"/>
                <w:sz w:val="22"/>
              </w:rPr>
              <w:t>ei Ausstellung der Heilmittelfolgeverordnung liegt ein Zwischenbericht zum bisherigen Verlauf der Heilmittelanwendung vor.</w:t>
            </w:r>
          </w:p>
          <w:p w14:paraId="6967EA70" w14:textId="77777777" w:rsidR="00D459C7" w:rsidRPr="00955618" w:rsidRDefault="00D459C7" w:rsidP="00D459C7">
            <w:pPr>
              <w:rPr>
                <w:rFonts w:ascii="Arial" w:hAnsi="Arial" w:cs="Arial"/>
                <w:color w:val="000000" w:themeColor="text1"/>
                <w:sz w:val="22"/>
              </w:rPr>
            </w:pPr>
          </w:p>
          <w:p w14:paraId="08F0077B" w14:textId="420191F0" w:rsidR="00D459C7" w:rsidRDefault="00D459C7" w:rsidP="00D459C7">
            <w:pPr>
              <w:rPr>
                <w:rFonts w:ascii="Arial" w:hAnsi="Arial" w:cs="Arial"/>
                <w:color w:val="000000" w:themeColor="text1"/>
                <w:sz w:val="22"/>
              </w:rPr>
            </w:pPr>
            <w:r w:rsidRPr="00955618">
              <w:rPr>
                <w:rFonts w:ascii="Arial" w:hAnsi="Arial" w:cs="Arial"/>
                <w:color w:val="000000" w:themeColor="text1"/>
                <w:sz w:val="22"/>
              </w:rPr>
              <w:t>Im Falle einer Heilmittelerstverordnung soll die Verordnung regelhaft im Rahmen eines ärztlichen Patientenkontaktes erfolgen</w:t>
            </w:r>
            <w:r w:rsidR="00283967">
              <w:rPr>
                <w:rFonts w:ascii="Arial" w:hAnsi="Arial" w:cs="Arial"/>
                <w:color w:val="000000" w:themeColor="text1"/>
                <w:sz w:val="22"/>
              </w:rPr>
              <w:t>.</w:t>
            </w:r>
            <w:r w:rsidRPr="00955618">
              <w:rPr>
                <w:rFonts w:ascii="Arial" w:hAnsi="Arial" w:cs="Arial"/>
                <w:color w:val="000000" w:themeColor="text1"/>
                <w:sz w:val="22"/>
              </w:rPr>
              <w:t xml:space="preserve"> In diesem Falle ist der Inhalt des zu Grunde liegenden ärztlichen Patientenkontaktes zu dokumentieren und die gesamte Leistungszeit (Patientenkontakt und Erstellung der Heilmittelverordnung) ist gemäß Punkt 2.1.7 „Leistungsziffernsystematik“ in eine Gebührenziffer umzuwandeln.</w:t>
            </w:r>
          </w:p>
          <w:p w14:paraId="5299C472" w14:textId="2084279A" w:rsidR="00D459C7" w:rsidRPr="00955618" w:rsidRDefault="00D459C7" w:rsidP="00D459C7">
            <w:pPr>
              <w:rPr>
                <w:rFonts w:ascii="Arial" w:hAnsi="Arial" w:cs="Arial"/>
                <w:color w:val="000000" w:themeColor="text1"/>
                <w:sz w:val="22"/>
              </w:rPr>
            </w:pPr>
          </w:p>
        </w:tc>
        <w:tc>
          <w:tcPr>
            <w:tcW w:w="2867" w:type="dxa"/>
          </w:tcPr>
          <w:p w14:paraId="7012299F" w14:textId="77777777" w:rsidR="00D459C7" w:rsidRPr="00955618" w:rsidRDefault="00D459C7" w:rsidP="00D459C7">
            <w:pPr>
              <w:rPr>
                <w:rFonts w:ascii="Arial" w:hAnsi="Arial" w:cs="Arial"/>
                <w:color w:val="000000" w:themeColor="text1"/>
                <w:sz w:val="22"/>
              </w:rPr>
            </w:pPr>
          </w:p>
          <w:p w14:paraId="03D39B4C" w14:textId="77777777" w:rsidR="00D459C7" w:rsidRPr="00955618" w:rsidRDefault="00D459C7" w:rsidP="00D459C7">
            <w:pPr>
              <w:rPr>
                <w:rFonts w:ascii="Arial" w:hAnsi="Arial" w:cs="Arial"/>
                <w:color w:val="000000" w:themeColor="text1"/>
                <w:sz w:val="22"/>
              </w:rPr>
            </w:pPr>
          </w:p>
          <w:p w14:paraId="67F960B0" w14:textId="77777777" w:rsidR="00D459C7" w:rsidRPr="00955618" w:rsidRDefault="00D459C7" w:rsidP="00D459C7">
            <w:pPr>
              <w:rPr>
                <w:rFonts w:ascii="Arial" w:hAnsi="Arial" w:cs="Arial"/>
                <w:color w:val="000000" w:themeColor="text1"/>
                <w:sz w:val="22"/>
              </w:rPr>
            </w:pPr>
          </w:p>
          <w:p w14:paraId="64FF34F9" w14:textId="77777777" w:rsidR="00D459C7" w:rsidRPr="00955618" w:rsidRDefault="00D459C7" w:rsidP="00D459C7">
            <w:pPr>
              <w:rPr>
                <w:rFonts w:ascii="Arial" w:hAnsi="Arial" w:cs="Arial"/>
                <w:color w:val="000000" w:themeColor="text1"/>
                <w:sz w:val="22"/>
              </w:rPr>
            </w:pPr>
          </w:p>
          <w:p w14:paraId="2DA02A05" w14:textId="77777777" w:rsidR="00D459C7" w:rsidRPr="00955618" w:rsidRDefault="00D459C7" w:rsidP="00D459C7">
            <w:pPr>
              <w:rPr>
                <w:rFonts w:ascii="Arial" w:hAnsi="Arial" w:cs="Arial"/>
                <w:color w:val="000000" w:themeColor="text1"/>
                <w:sz w:val="22"/>
              </w:rPr>
            </w:pPr>
          </w:p>
          <w:p w14:paraId="7478DB6E" w14:textId="77777777" w:rsidR="00D459C7" w:rsidRPr="00955618" w:rsidRDefault="00D459C7" w:rsidP="00D459C7">
            <w:pPr>
              <w:rPr>
                <w:rFonts w:ascii="Arial" w:hAnsi="Arial" w:cs="Arial"/>
                <w:color w:val="000000" w:themeColor="text1"/>
                <w:sz w:val="22"/>
              </w:rPr>
            </w:pPr>
          </w:p>
          <w:p w14:paraId="5B86EE17" w14:textId="77777777" w:rsidR="00D459C7" w:rsidRPr="00955618" w:rsidRDefault="00D459C7" w:rsidP="00D459C7">
            <w:pPr>
              <w:rPr>
                <w:rFonts w:ascii="Arial" w:hAnsi="Arial" w:cs="Arial"/>
                <w:color w:val="000000" w:themeColor="text1"/>
                <w:sz w:val="22"/>
              </w:rPr>
            </w:pPr>
          </w:p>
          <w:p w14:paraId="6268CE2E" w14:textId="77777777" w:rsidR="00D459C7" w:rsidRPr="00955618" w:rsidRDefault="00D459C7" w:rsidP="00D459C7">
            <w:pPr>
              <w:rPr>
                <w:rFonts w:ascii="Arial" w:hAnsi="Arial" w:cs="Arial"/>
                <w:color w:val="000000" w:themeColor="text1"/>
                <w:sz w:val="22"/>
              </w:rPr>
            </w:pPr>
          </w:p>
          <w:p w14:paraId="69BAB524" w14:textId="77777777" w:rsidR="00D459C7" w:rsidRPr="00955618" w:rsidRDefault="00D459C7" w:rsidP="00D459C7">
            <w:pPr>
              <w:rPr>
                <w:rFonts w:ascii="Arial" w:hAnsi="Arial" w:cs="Arial"/>
                <w:color w:val="000000" w:themeColor="text1"/>
                <w:sz w:val="22"/>
              </w:rPr>
            </w:pPr>
          </w:p>
          <w:p w14:paraId="3AC41EA3" w14:textId="77777777" w:rsidR="00D459C7" w:rsidRPr="00955618" w:rsidRDefault="00D459C7" w:rsidP="00D459C7">
            <w:pPr>
              <w:rPr>
                <w:rFonts w:ascii="Arial" w:hAnsi="Arial" w:cs="Arial"/>
                <w:color w:val="000000" w:themeColor="text1"/>
                <w:sz w:val="22"/>
              </w:rPr>
            </w:pPr>
          </w:p>
          <w:p w14:paraId="10D83706" w14:textId="77777777" w:rsidR="00D459C7" w:rsidRPr="00955618" w:rsidRDefault="00D459C7" w:rsidP="00D459C7">
            <w:pPr>
              <w:rPr>
                <w:rFonts w:ascii="Arial" w:hAnsi="Arial" w:cs="Arial"/>
                <w:color w:val="000000" w:themeColor="text1"/>
                <w:sz w:val="22"/>
              </w:rPr>
            </w:pPr>
          </w:p>
          <w:p w14:paraId="51C3928F" w14:textId="77777777" w:rsidR="00D459C7" w:rsidRPr="00955618" w:rsidRDefault="00D459C7" w:rsidP="00D459C7">
            <w:pPr>
              <w:rPr>
                <w:rFonts w:ascii="Arial" w:hAnsi="Arial" w:cs="Arial"/>
                <w:color w:val="000000" w:themeColor="text1"/>
                <w:sz w:val="22"/>
              </w:rPr>
            </w:pPr>
          </w:p>
          <w:p w14:paraId="56DA4653" w14:textId="77777777" w:rsidR="00D459C7" w:rsidRPr="00955618" w:rsidRDefault="00D459C7" w:rsidP="00D459C7">
            <w:pPr>
              <w:rPr>
                <w:rFonts w:ascii="Arial" w:hAnsi="Arial" w:cs="Arial"/>
                <w:color w:val="000000" w:themeColor="text1"/>
                <w:sz w:val="22"/>
              </w:rPr>
            </w:pPr>
          </w:p>
          <w:p w14:paraId="0EC8B7D8" w14:textId="77777777" w:rsidR="00D459C7" w:rsidRPr="00955618" w:rsidRDefault="00D459C7" w:rsidP="00D459C7">
            <w:pPr>
              <w:rPr>
                <w:rFonts w:ascii="Arial" w:hAnsi="Arial" w:cs="Arial"/>
                <w:color w:val="000000" w:themeColor="text1"/>
                <w:sz w:val="22"/>
              </w:rPr>
            </w:pPr>
          </w:p>
          <w:p w14:paraId="45419D34" w14:textId="77777777" w:rsidR="00D459C7" w:rsidRPr="00955618" w:rsidRDefault="00D459C7" w:rsidP="00D459C7">
            <w:pPr>
              <w:rPr>
                <w:rFonts w:ascii="Arial" w:hAnsi="Arial" w:cs="Arial"/>
                <w:color w:val="000000" w:themeColor="text1"/>
                <w:sz w:val="22"/>
              </w:rPr>
            </w:pPr>
          </w:p>
          <w:p w14:paraId="0138B587" w14:textId="246F82EB" w:rsidR="00D459C7" w:rsidRPr="00955618" w:rsidRDefault="00D459C7" w:rsidP="005551AF">
            <w:pPr>
              <w:rPr>
                <w:rFonts w:ascii="Arial" w:hAnsi="Arial" w:cs="Arial"/>
                <w:color w:val="000000" w:themeColor="text1"/>
                <w:sz w:val="22"/>
              </w:rPr>
            </w:pPr>
            <w:r w:rsidRPr="00955618">
              <w:rPr>
                <w:rFonts w:ascii="Arial" w:hAnsi="Arial" w:cs="Arial"/>
                <w:color w:val="000000" w:themeColor="text1"/>
                <w:sz w:val="22"/>
              </w:rPr>
              <w:t xml:space="preserve">Siehe </w:t>
            </w:r>
            <w:r w:rsidR="005551AF">
              <w:rPr>
                <w:rFonts w:ascii="Arial" w:hAnsi="Arial" w:cs="Arial"/>
                <w:color w:val="000000" w:themeColor="text1"/>
                <w:sz w:val="22"/>
              </w:rPr>
              <w:t>auch Pkt.</w:t>
            </w:r>
            <w:r w:rsidRPr="00955618">
              <w:rPr>
                <w:rFonts w:ascii="Arial" w:hAnsi="Arial" w:cs="Arial"/>
                <w:color w:val="000000" w:themeColor="text1"/>
                <w:sz w:val="22"/>
              </w:rPr>
              <w:t xml:space="preserve"> 2.1.7 „Leistungsziffernsystematik“</w:t>
            </w:r>
          </w:p>
        </w:tc>
        <w:tc>
          <w:tcPr>
            <w:tcW w:w="1357" w:type="dxa"/>
          </w:tcPr>
          <w:p w14:paraId="7798A327" w14:textId="352B9C91" w:rsidR="00D459C7" w:rsidRPr="00955618" w:rsidRDefault="00D459C7" w:rsidP="00D459C7">
            <w:pPr>
              <w:rPr>
                <w:rFonts w:ascii="Arial" w:hAnsi="Arial" w:cs="Arial"/>
                <w:color w:val="000000" w:themeColor="text1"/>
                <w:sz w:val="22"/>
              </w:rPr>
            </w:pPr>
          </w:p>
        </w:tc>
      </w:tr>
      <w:tr w:rsidR="001739DE" w:rsidRPr="00955618" w14:paraId="5D9C978D" w14:textId="77777777" w:rsidTr="004D1CE4">
        <w:trPr>
          <w:trHeight w:val="1256"/>
        </w:trPr>
        <w:tc>
          <w:tcPr>
            <w:tcW w:w="3049" w:type="dxa"/>
          </w:tcPr>
          <w:p w14:paraId="33B633B3"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Heilerziehungspfleger</w:t>
            </w:r>
          </w:p>
          <w:p w14:paraId="6FEA3763"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2.2.10</w:t>
            </w:r>
          </w:p>
        </w:tc>
        <w:tc>
          <w:tcPr>
            <w:tcW w:w="1633" w:type="dxa"/>
          </w:tcPr>
          <w:p w14:paraId="64919D1D" w14:textId="448C2008"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145485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Leistungen von Heilerziehungspflegern können in der Berufsgruppe 3 (Pflegekräfte) abgerechnet werden.</w:t>
            </w:r>
          </w:p>
        </w:tc>
        <w:tc>
          <w:tcPr>
            <w:tcW w:w="2867" w:type="dxa"/>
          </w:tcPr>
          <w:p w14:paraId="19F4ED2D" w14:textId="77777777" w:rsidR="00D459C7" w:rsidRPr="00955618" w:rsidRDefault="00D459C7" w:rsidP="00D459C7">
            <w:pPr>
              <w:rPr>
                <w:rFonts w:ascii="Arial" w:hAnsi="Arial" w:cs="Arial"/>
                <w:color w:val="000000" w:themeColor="text1"/>
                <w:sz w:val="22"/>
              </w:rPr>
            </w:pPr>
          </w:p>
        </w:tc>
        <w:tc>
          <w:tcPr>
            <w:tcW w:w="1357" w:type="dxa"/>
          </w:tcPr>
          <w:p w14:paraId="643B9A55" w14:textId="6BC74F6B" w:rsidR="00D459C7" w:rsidRPr="00955618" w:rsidRDefault="00D459C7" w:rsidP="00D459C7">
            <w:pPr>
              <w:rPr>
                <w:rFonts w:ascii="Arial" w:hAnsi="Arial" w:cs="Arial"/>
                <w:color w:val="000000" w:themeColor="text1"/>
                <w:sz w:val="22"/>
              </w:rPr>
            </w:pPr>
          </w:p>
        </w:tc>
      </w:tr>
      <w:tr w:rsidR="001739DE" w:rsidRPr="00955618" w14:paraId="3817EB46" w14:textId="77777777" w:rsidTr="004D1CE4">
        <w:trPr>
          <w:trHeight w:val="1256"/>
        </w:trPr>
        <w:tc>
          <w:tcPr>
            <w:tcW w:w="3049" w:type="dxa"/>
          </w:tcPr>
          <w:p w14:paraId="5B6EF2E8"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Laborbefundung</w:t>
            </w:r>
          </w:p>
          <w:p w14:paraId="4A69A3B2"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2.5.4</w:t>
            </w:r>
          </w:p>
        </w:tc>
        <w:tc>
          <w:tcPr>
            <w:tcW w:w="1633" w:type="dxa"/>
          </w:tcPr>
          <w:p w14:paraId="51B9AF57" w14:textId="2D432F72"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5B8887FA"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Ergeben sich aus den Laborergebnissen keine auffälligen Befunde, ist die ärztliche Befundung nicht abrechenbar.</w:t>
            </w:r>
          </w:p>
        </w:tc>
        <w:tc>
          <w:tcPr>
            <w:tcW w:w="2867" w:type="dxa"/>
          </w:tcPr>
          <w:p w14:paraId="1FD566D3" w14:textId="77777777" w:rsidR="00D459C7" w:rsidRPr="00955618" w:rsidRDefault="00D459C7" w:rsidP="00D459C7">
            <w:pPr>
              <w:rPr>
                <w:rFonts w:ascii="Arial" w:hAnsi="Arial" w:cs="Arial"/>
                <w:color w:val="000000" w:themeColor="text1"/>
                <w:sz w:val="22"/>
              </w:rPr>
            </w:pPr>
          </w:p>
        </w:tc>
        <w:tc>
          <w:tcPr>
            <w:tcW w:w="1357" w:type="dxa"/>
          </w:tcPr>
          <w:p w14:paraId="58D680CC" w14:textId="77777777" w:rsidR="00D459C7" w:rsidRPr="00955618" w:rsidRDefault="00D459C7" w:rsidP="00D459C7">
            <w:pPr>
              <w:rPr>
                <w:rFonts w:ascii="Arial" w:hAnsi="Arial" w:cs="Arial"/>
                <w:color w:val="000000" w:themeColor="text1"/>
                <w:sz w:val="22"/>
              </w:rPr>
            </w:pPr>
          </w:p>
        </w:tc>
      </w:tr>
      <w:tr w:rsidR="001739DE" w:rsidRPr="00955618" w14:paraId="0041E4F6" w14:textId="77777777" w:rsidTr="004D1CE4">
        <w:trPr>
          <w:trHeight w:val="1256"/>
        </w:trPr>
        <w:tc>
          <w:tcPr>
            <w:tcW w:w="3049" w:type="dxa"/>
          </w:tcPr>
          <w:p w14:paraId="08A9BC1E"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Laborleistungen</w:t>
            </w:r>
          </w:p>
          <w:p w14:paraId="72A27CA6"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2.5.1</w:t>
            </w:r>
          </w:p>
        </w:tc>
        <w:tc>
          <w:tcPr>
            <w:tcW w:w="1633" w:type="dxa"/>
          </w:tcPr>
          <w:p w14:paraId="5E94DD85" w14:textId="175F91C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100322D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Falls Laborleistungen nicht vollständig selbst erbracht werden, kann die Überweisung an einen an der vertragsärztlichen Versorgung teilnehmenden Laborarzt erfolgen.</w:t>
            </w:r>
          </w:p>
          <w:p w14:paraId="0611DAF3" w14:textId="77777777" w:rsidR="00D459C7" w:rsidRDefault="00D459C7" w:rsidP="00D459C7">
            <w:pPr>
              <w:rPr>
                <w:rFonts w:ascii="Arial" w:hAnsi="Arial" w:cs="Arial"/>
                <w:i/>
                <w:iCs/>
                <w:color w:val="000000" w:themeColor="text1"/>
                <w:sz w:val="22"/>
              </w:rPr>
            </w:pPr>
            <w:r w:rsidRPr="00955618">
              <w:rPr>
                <w:rFonts w:ascii="Arial" w:hAnsi="Arial" w:cs="Arial"/>
                <w:i/>
                <w:iCs/>
                <w:color w:val="000000" w:themeColor="text1"/>
                <w:sz w:val="22"/>
              </w:rPr>
              <w:t>Selbstverständlich kann in diesen Fällen die Pauschale nicht abgerechnet werden.</w:t>
            </w:r>
          </w:p>
          <w:p w14:paraId="635C5EAE" w14:textId="7B5BA690" w:rsidR="00D459C7" w:rsidRPr="00955618" w:rsidRDefault="00D459C7" w:rsidP="00D459C7">
            <w:pPr>
              <w:rPr>
                <w:rFonts w:ascii="Arial" w:hAnsi="Arial" w:cs="Arial"/>
                <w:i/>
                <w:iCs/>
                <w:color w:val="000000" w:themeColor="text1"/>
                <w:sz w:val="22"/>
              </w:rPr>
            </w:pPr>
          </w:p>
        </w:tc>
        <w:tc>
          <w:tcPr>
            <w:tcW w:w="2867" w:type="dxa"/>
          </w:tcPr>
          <w:p w14:paraId="69A92B79" w14:textId="52D7939F" w:rsidR="00D459C7" w:rsidRPr="00955618" w:rsidRDefault="005551AF" w:rsidP="00D459C7">
            <w:pPr>
              <w:rPr>
                <w:rFonts w:ascii="Arial" w:hAnsi="Arial" w:cs="Arial"/>
                <w:color w:val="000000" w:themeColor="text1"/>
                <w:sz w:val="22"/>
              </w:rPr>
            </w:pPr>
            <w:r>
              <w:rPr>
                <w:rFonts w:ascii="Arial" w:hAnsi="Arial" w:cs="Arial"/>
                <w:color w:val="000000" w:themeColor="text1"/>
                <w:sz w:val="22"/>
              </w:rPr>
              <w:t xml:space="preserve">auch Pkt. 2.5.2 </w:t>
            </w:r>
            <w:r w:rsidR="00D459C7" w:rsidRPr="00955618">
              <w:rPr>
                <w:rFonts w:ascii="Arial" w:hAnsi="Arial" w:cs="Arial"/>
                <w:color w:val="000000" w:themeColor="text1"/>
                <w:sz w:val="22"/>
              </w:rPr>
              <w:t>Laborpauschale</w:t>
            </w:r>
          </w:p>
          <w:p w14:paraId="19F5C13D"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Pr>
          <w:p w14:paraId="0402F371" w14:textId="77777777" w:rsidR="00D459C7" w:rsidRPr="00955618" w:rsidRDefault="00D459C7" w:rsidP="00D459C7">
            <w:pPr>
              <w:rPr>
                <w:rFonts w:ascii="Arial" w:hAnsi="Arial" w:cs="Arial"/>
                <w:color w:val="000000" w:themeColor="text1"/>
                <w:sz w:val="22"/>
              </w:rPr>
            </w:pPr>
          </w:p>
        </w:tc>
      </w:tr>
      <w:tr w:rsidR="001739DE" w:rsidRPr="00955618" w14:paraId="7F308124" w14:textId="77777777" w:rsidTr="004D1CE4">
        <w:trPr>
          <w:trHeight w:val="1932"/>
        </w:trPr>
        <w:tc>
          <w:tcPr>
            <w:tcW w:w="3049" w:type="dxa"/>
          </w:tcPr>
          <w:p w14:paraId="7AF9599A"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Laborpauschale</w:t>
            </w:r>
          </w:p>
          <w:p w14:paraId="4AEF578A"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2.5.2</w:t>
            </w:r>
          </w:p>
        </w:tc>
        <w:tc>
          <w:tcPr>
            <w:tcW w:w="1633" w:type="dxa"/>
          </w:tcPr>
          <w:p w14:paraId="3C06F6B2" w14:textId="52B4FF67"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7232E83F"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Jeder Behandlungsfall löst dem Grunde nach die Laborpauschale aus. </w:t>
            </w:r>
          </w:p>
          <w:p w14:paraId="2604B412"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Eine Ausnahme stellt hierzu lediglich die Überweisung der Laborleistungen an ein Fremdlabor dar.</w:t>
            </w:r>
          </w:p>
        </w:tc>
        <w:tc>
          <w:tcPr>
            <w:tcW w:w="2867" w:type="dxa"/>
          </w:tcPr>
          <w:p w14:paraId="1D7CE1B2" w14:textId="567F87C3"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auch P</w:t>
            </w:r>
            <w:r w:rsidR="005551AF">
              <w:rPr>
                <w:rFonts w:ascii="Arial" w:hAnsi="Arial" w:cs="Arial"/>
                <w:color w:val="000000" w:themeColor="text1"/>
                <w:sz w:val="22"/>
              </w:rPr>
              <w:t xml:space="preserve">kt. 2.5.1 </w:t>
            </w:r>
            <w:r w:rsidRPr="00955618">
              <w:rPr>
                <w:rFonts w:ascii="Arial" w:hAnsi="Arial" w:cs="Arial"/>
                <w:color w:val="000000" w:themeColor="text1"/>
                <w:sz w:val="22"/>
              </w:rPr>
              <w:t>Laborleistungen</w:t>
            </w:r>
          </w:p>
          <w:p w14:paraId="5AEB2442"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p w14:paraId="09DAD378" w14:textId="77777777" w:rsidR="00D459C7" w:rsidRPr="00955618" w:rsidRDefault="00D459C7" w:rsidP="00D459C7">
            <w:pPr>
              <w:rPr>
                <w:rFonts w:ascii="Arial" w:hAnsi="Arial" w:cs="Arial"/>
                <w:color w:val="000000" w:themeColor="text1"/>
                <w:sz w:val="22"/>
              </w:rPr>
            </w:pPr>
          </w:p>
          <w:p w14:paraId="2AEF4DC1" w14:textId="2A6338E4"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auch Pkt.</w:t>
            </w:r>
            <w:r w:rsidR="005551AF">
              <w:rPr>
                <w:rFonts w:ascii="Arial" w:hAnsi="Arial" w:cs="Arial"/>
                <w:color w:val="000000" w:themeColor="text1"/>
                <w:sz w:val="22"/>
              </w:rPr>
              <w:t xml:space="preserve"> 2.1.5</w:t>
            </w:r>
            <w:r w:rsidRPr="00955618">
              <w:rPr>
                <w:rFonts w:ascii="Arial" w:hAnsi="Arial" w:cs="Arial"/>
                <w:color w:val="000000" w:themeColor="text1"/>
                <w:sz w:val="22"/>
              </w:rPr>
              <w:t xml:space="preserve"> „Erstellen eines Arztbriefes ohne Patientenkontakt“ beachten</w:t>
            </w:r>
          </w:p>
        </w:tc>
        <w:tc>
          <w:tcPr>
            <w:tcW w:w="1357" w:type="dxa"/>
          </w:tcPr>
          <w:p w14:paraId="3986B091" w14:textId="77777777" w:rsidR="00D459C7" w:rsidRPr="00955618" w:rsidRDefault="00D459C7" w:rsidP="00D459C7">
            <w:pPr>
              <w:rPr>
                <w:rFonts w:ascii="Arial" w:hAnsi="Arial" w:cs="Arial"/>
                <w:color w:val="000000" w:themeColor="text1"/>
                <w:sz w:val="22"/>
              </w:rPr>
            </w:pPr>
          </w:p>
        </w:tc>
      </w:tr>
      <w:tr w:rsidR="001739DE" w:rsidRPr="00955618" w14:paraId="6C069B19" w14:textId="77777777" w:rsidTr="004D1CE4">
        <w:trPr>
          <w:trHeight w:val="2537"/>
        </w:trPr>
        <w:tc>
          <w:tcPr>
            <w:tcW w:w="3049" w:type="dxa"/>
            <w:tcBorders>
              <w:bottom w:val="single" w:sz="4" w:space="0" w:color="auto"/>
            </w:tcBorders>
          </w:tcPr>
          <w:p w14:paraId="7D2A86DC"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Leistungsziffernsystematik</w:t>
            </w:r>
          </w:p>
          <w:p w14:paraId="6384B123"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2.1.7</w:t>
            </w:r>
          </w:p>
        </w:tc>
        <w:tc>
          <w:tcPr>
            <w:tcW w:w="1633" w:type="dxa"/>
            <w:tcBorders>
              <w:bottom w:val="single" w:sz="4" w:space="0" w:color="auto"/>
            </w:tcBorders>
          </w:tcPr>
          <w:p w14:paraId="0AF49ABA" w14:textId="7AABF976"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64E0972D"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Pro Leistungserbringer und Leistungsart (Regelbehandlung, Kleingruppe, Großgruppe, Fahrt) erfolgt </w:t>
            </w:r>
          </w:p>
          <w:p w14:paraId="17148FBD"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1. die Aufsummierung der am jeweiligen Behandlungstag erbrachten Leistungszeiten am Patienten,</w:t>
            </w:r>
          </w:p>
          <w:p w14:paraId="0ADAF8D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2. die Umwandlung der so ermittelten aufsummierten Zeit plus eines Zuschlages von einem Drittel für Vor- und Nachbereitung</w:t>
            </w:r>
          </w:p>
          <w:p w14:paraId="0D8905E8" w14:textId="541064B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in </w:t>
            </w:r>
            <w:r w:rsidRPr="00955618">
              <w:rPr>
                <w:rFonts w:ascii="Arial" w:hAnsi="Arial" w:cs="Arial"/>
                <w:color w:val="000000" w:themeColor="text1"/>
                <w:sz w:val="22"/>
                <w:u w:val="single"/>
              </w:rPr>
              <w:t>eine</w:t>
            </w:r>
            <w:r w:rsidRPr="00955618">
              <w:rPr>
                <w:rFonts w:ascii="Arial" w:hAnsi="Arial" w:cs="Arial"/>
                <w:color w:val="000000" w:themeColor="text1"/>
                <w:sz w:val="22"/>
              </w:rPr>
              <w:t xml:space="preserve"> Gebühren-Nr. pro Tag und Leistungsart und Leistungserbringer gemäß Leistungs- und Vergütungsverzeichnis der Anlage </w:t>
            </w:r>
            <w:r w:rsidR="00283967">
              <w:rPr>
                <w:rFonts w:ascii="Arial" w:hAnsi="Arial" w:cs="Arial"/>
                <w:color w:val="000000" w:themeColor="text1"/>
                <w:sz w:val="22"/>
              </w:rPr>
              <w:t>1</w:t>
            </w:r>
            <w:r w:rsidRPr="00955618">
              <w:rPr>
                <w:rFonts w:ascii="Arial" w:hAnsi="Arial" w:cs="Arial"/>
                <w:color w:val="000000" w:themeColor="text1"/>
                <w:sz w:val="22"/>
              </w:rPr>
              <w:t xml:space="preserve">. Dies entspricht der Regelung von 25% in der Anlage </w:t>
            </w:r>
            <w:r w:rsidR="00283967">
              <w:rPr>
                <w:rFonts w:ascii="Arial" w:hAnsi="Arial" w:cs="Arial"/>
                <w:color w:val="000000" w:themeColor="text1"/>
                <w:sz w:val="22"/>
              </w:rPr>
              <w:t>1</w:t>
            </w:r>
            <w:r w:rsidRPr="00955618">
              <w:rPr>
                <w:rFonts w:ascii="Arial" w:hAnsi="Arial" w:cs="Arial"/>
                <w:color w:val="000000" w:themeColor="text1"/>
                <w:sz w:val="22"/>
              </w:rPr>
              <w:t>.</w:t>
            </w:r>
          </w:p>
          <w:p w14:paraId="5CB458CA" w14:textId="77777777" w:rsidR="00D459C7" w:rsidRPr="00955618" w:rsidRDefault="00D459C7" w:rsidP="00D459C7">
            <w:pPr>
              <w:rPr>
                <w:rFonts w:ascii="Arial" w:hAnsi="Arial" w:cs="Arial"/>
                <w:color w:val="000000" w:themeColor="text1"/>
                <w:sz w:val="22"/>
              </w:rPr>
            </w:pPr>
          </w:p>
          <w:p w14:paraId="0DBF307A"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Leistungsziffern 100, 0100, 101, 0101, 201 und 0201 fallen nicht unter diese Regelung.</w:t>
            </w:r>
          </w:p>
          <w:p w14:paraId="7AB36BCB" w14:textId="77777777"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503B42C8" w14:textId="77777777" w:rsidR="00D459C7" w:rsidRPr="00955618" w:rsidRDefault="00D459C7" w:rsidP="00D459C7">
            <w:pPr>
              <w:rPr>
                <w:rFonts w:ascii="Arial" w:hAnsi="Arial" w:cs="Arial"/>
                <w:color w:val="000000" w:themeColor="text1"/>
                <w:sz w:val="22"/>
              </w:rPr>
            </w:pPr>
          </w:p>
          <w:p w14:paraId="0C7DCC33" w14:textId="77777777" w:rsidR="00D459C7" w:rsidRPr="00955618" w:rsidRDefault="00D459C7" w:rsidP="00D459C7">
            <w:pPr>
              <w:rPr>
                <w:rFonts w:ascii="Arial" w:hAnsi="Arial" w:cs="Arial"/>
                <w:color w:val="000000" w:themeColor="text1"/>
                <w:sz w:val="22"/>
              </w:rPr>
            </w:pPr>
          </w:p>
          <w:p w14:paraId="510F7653" w14:textId="77777777" w:rsidR="00D459C7" w:rsidRPr="00955618" w:rsidRDefault="00D459C7" w:rsidP="00D459C7">
            <w:pPr>
              <w:rPr>
                <w:rFonts w:ascii="Arial" w:hAnsi="Arial" w:cs="Arial"/>
                <w:color w:val="000000" w:themeColor="text1"/>
                <w:sz w:val="22"/>
              </w:rPr>
            </w:pPr>
          </w:p>
          <w:p w14:paraId="593B3806" w14:textId="77777777" w:rsidR="00D459C7" w:rsidRPr="00955618" w:rsidRDefault="00D459C7" w:rsidP="00D459C7">
            <w:pPr>
              <w:rPr>
                <w:rFonts w:ascii="Arial" w:hAnsi="Arial" w:cs="Arial"/>
                <w:color w:val="000000" w:themeColor="text1"/>
                <w:sz w:val="22"/>
              </w:rPr>
            </w:pPr>
          </w:p>
          <w:p w14:paraId="4FE13145" w14:textId="77777777" w:rsidR="00D459C7" w:rsidRPr="00955618" w:rsidRDefault="00D459C7" w:rsidP="00D459C7">
            <w:pPr>
              <w:rPr>
                <w:rFonts w:ascii="Arial" w:hAnsi="Arial" w:cs="Arial"/>
                <w:color w:val="000000" w:themeColor="text1"/>
                <w:sz w:val="22"/>
              </w:rPr>
            </w:pPr>
          </w:p>
          <w:p w14:paraId="0D2BFDE9" w14:textId="77777777" w:rsidR="00D459C7" w:rsidRPr="00955618" w:rsidRDefault="00D459C7" w:rsidP="00D459C7">
            <w:pPr>
              <w:rPr>
                <w:rFonts w:ascii="Arial" w:hAnsi="Arial" w:cs="Arial"/>
                <w:color w:val="000000" w:themeColor="text1"/>
                <w:sz w:val="22"/>
              </w:rPr>
            </w:pPr>
          </w:p>
          <w:p w14:paraId="6BB87EF3" w14:textId="77777777" w:rsidR="00D459C7" w:rsidRPr="00955618" w:rsidRDefault="00D459C7" w:rsidP="00D459C7">
            <w:pPr>
              <w:rPr>
                <w:rFonts w:ascii="Arial" w:hAnsi="Arial" w:cs="Arial"/>
                <w:color w:val="000000" w:themeColor="text1"/>
                <w:sz w:val="22"/>
              </w:rPr>
            </w:pPr>
          </w:p>
          <w:p w14:paraId="1FEB3008" w14:textId="77777777" w:rsidR="00D459C7" w:rsidRPr="00955618" w:rsidRDefault="00D459C7" w:rsidP="00D459C7">
            <w:pPr>
              <w:rPr>
                <w:rFonts w:ascii="Arial" w:hAnsi="Arial" w:cs="Arial"/>
                <w:color w:val="000000" w:themeColor="text1"/>
                <w:sz w:val="22"/>
              </w:rPr>
            </w:pPr>
          </w:p>
          <w:p w14:paraId="1C9E7135" w14:textId="77777777" w:rsidR="00D459C7" w:rsidRPr="00955618" w:rsidRDefault="00D459C7" w:rsidP="00D459C7">
            <w:pPr>
              <w:rPr>
                <w:rFonts w:ascii="Arial" w:hAnsi="Arial" w:cs="Arial"/>
                <w:color w:val="000000" w:themeColor="text1"/>
                <w:sz w:val="22"/>
              </w:rPr>
            </w:pPr>
          </w:p>
          <w:p w14:paraId="6CA93B28" w14:textId="6AEBF1D3" w:rsidR="00D459C7" w:rsidRPr="00955618" w:rsidRDefault="00D459C7" w:rsidP="00D459C7">
            <w:pPr>
              <w:rPr>
                <w:rFonts w:ascii="Arial" w:hAnsi="Arial" w:cs="Arial"/>
                <w:color w:val="000000" w:themeColor="text1"/>
                <w:sz w:val="22"/>
              </w:rPr>
            </w:pPr>
            <w:r>
              <w:rPr>
                <w:rFonts w:ascii="Arial" w:hAnsi="Arial" w:cs="Arial"/>
                <w:color w:val="000000" w:themeColor="text1"/>
                <w:sz w:val="22"/>
              </w:rPr>
              <w:t>S</w:t>
            </w:r>
            <w:r w:rsidRPr="00955618">
              <w:rPr>
                <w:rFonts w:ascii="Arial" w:hAnsi="Arial" w:cs="Arial"/>
                <w:color w:val="000000" w:themeColor="text1"/>
                <w:sz w:val="22"/>
              </w:rPr>
              <w:t>iehe</w:t>
            </w:r>
            <w:r w:rsidR="004C1843">
              <w:rPr>
                <w:rFonts w:ascii="Arial" w:hAnsi="Arial" w:cs="Arial"/>
                <w:color w:val="000000" w:themeColor="text1"/>
                <w:sz w:val="22"/>
              </w:rPr>
              <w:t xml:space="preserve"> Pkt.</w:t>
            </w:r>
            <w:r w:rsidRPr="00955618">
              <w:rPr>
                <w:rFonts w:ascii="Arial" w:hAnsi="Arial" w:cs="Arial"/>
                <w:color w:val="000000" w:themeColor="text1"/>
                <w:sz w:val="22"/>
              </w:rPr>
              <w:t xml:space="preserve"> 2.1.12 „Arzneimittelverordnung ohne Patientenkontakt“</w:t>
            </w:r>
          </w:p>
        </w:tc>
        <w:tc>
          <w:tcPr>
            <w:tcW w:w="1357" w:type="dxa"/>
            <w:tcBorders>
              <w:bottom w:val="single" w:sz="4" w:space="0" w:color="auto"/>
            </w:tcBorders>
          </w:tcPr>
          <w:p w14:paraId="5BAF3810" w14:textId="1B382ECB" w:rsidR="00D459C7" w:rsidRPr="00955618" w:rsidRDefault="00D459C7" w:rsidP="00D459C7">
            <w:pPr>
              <w:rPr>
                <w:rFonts w:ascii="Arial" w:hAnsi="Arial" w:cs="Arial"/>
                <w:color w:val="000000" w:themeColor="text1"/>
                <w:sz w:val="22"/>
              </w:rPr>
            </w:pPr>
          </w:p>
        </w:tc>
      </w:tr>
      <w:tr w:rsidR="001739DE" w:rsidRPr="00955618" w14:paraId="578F47F8" w14:textId="77777777" w:rsidTr="004D1CE4">
        <w:trPr>
          <w:trHeight w:val="1149"/>
        </w:trPr>
        <w:tc>
          <w:tcPr>
            <w:tcW w:w="3049" w:type="dxa"/>
            <w:tcBorders>
              <w:bottom w:val="single" w:sz="4" w:space="0" w:color="auto"/>
            </w:tcBorders>
          </w:tcPr>
          <w:p w14:paraId="5478ED64" w14:textId="77777777" w:rsidR="00D459C7" w:rsidRPr="00EF5A40" w:rsidRDefault="00D459C7" w:rsidP="00D459C7">
            <w:pPr>
              <w:rPr>
                <w:rFonts w:ascii="Arial" w:hAnsi="Arial" w:cs="Arial"/>
                <w:b/>
                <w:bCs/>
                <w:color w:val="000000" w:themeColor="text1"/>
                <w:sz w:val="22"/>
              </w:rPr>
            </w:pPr>
            <w:r w:rsidRPr="00EF5A40">
              <w:rPr>
                <w:rFonts w:ascii="Arial" w:hAnsi="Arial" w:cs="Arial"/>
                <w:b/>
                <w:bCs/>
                <w:color w:val="000000" w:themeColor="text1"/>
                <w:sz w:val="22"/>
              </w:rPr>
              <w:t>Mehrere Leistungserbringer</w:t>
            </w:r>
          </w:p>
          <w:p w14:paraId="3E37F0F7" w14:textId="77777777" w:rsidR="00D459C7" w:rsidRPr="00955618" w:rsidRDefault="00D459C7" w:rsidP="00D459C7">
            <w:pPr>
              <w:rPr>
                <w:color w:val="000000" w:themeColor="text1"/>
              </w:rPr>
            </w:pPr>
            <w:r w:rsidRPr="00955618">
              <w:rPr>
                <w:rFonts w:ascii="Arial" w:hAnsi="Arial" w:cs="Arial"/>
                <w:color w:val="000000" w:themeColor="text1"/>
                <w:sz w:val="22"/>
                <w:szCs w:val="22"/>
              </w:rPr>
              <w:t>2.3.3</w:t>
            </w:r>
          </w:p>
        </w:tc>
        <w:tc>
          <w:tcPr>
            <w:tcW w:w="1633" w:type="dxa"/>
            <w:tcBorders>
              <w:bottom w:val="single" w:sz="4" w:space="0" w:color="auto"/>
            </w:tcBorders>
          </w:tcPr>
          <w:p w14:paraId="0F2D25AA" w14:textId="1177FECF"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520AB1DD" w14:textId="48320B19" w:rsidR="00D459C7" w:rsidRPr="00E77E6B" w:rsidRDefault="00D459C7" w:rsidP="00D459C7">
            <w:pPr>
              <w:rPr>
                <w:rFonts w:ascii="Arial" w:hAnsi="Arial" w:cs="Arial"/>
                <w:color w:val="000000" w:themeColor="text1"/>
                <w:sz w:val="22"/>
              </w:rPr>
            </w:pPr>
            <w:r w:rsidRPr="00E77E6B">
              <w:rPr>
                <w:rFonts w:ascii="Arial" w:hAnsi="Arial" w:cs="Arial"/>
                <w:color w:val="000000" w:themeColor="text1"/>
                <w:sz w:val="22"/>
              </w:rPr>
              <w:t>Die Notwendigkeit des zeitgleichen Tätigwerdens mehr als eines Therapeuten (ggf. auch der gleichen Berufsgruppe), muss anhand der Dokumentation nachvollziehbar sein. Ansonsten gilt die Leistung gem. § 11 Abs. 1 der Rahmenvereinbarung als nicht erbracht. Die Leistungen sind gem. Pkt. 2.1.7 (Leistungsziffernsystematik) separat abrechenbar.</w:t>
            </w:r>
          </w:p>
        </w:tc>
        <w:tc>
          <w:tcPr>
            <w:tcW w:w="2867" w:type="dxa"/>
            <w:tcBorders>
              <w:bottom w:val="single" w:sz="4" w:space="0" w:color="auto"/>
            </w:tcBorders>
          </w:tcPr>
          <w:p w14:paraId="7F565395" w14:textId="77777777" w:rsidR="00D459C7" w:rsidRPr="00955618" w:rsidRDefault="00D459C7" w:rsidP="00D459C7">
            <w:pPr>
              <w:rPr>
                <w:rFonts w:ascii="Arial" w:hAnsi="Arial" w:cs="Arial"/>
                <w:b/>
                <w:bCs/>
                <w:color w:val="000000" w:themeColor="text1"/>
                <w:sz w:val="22"/>
              </w:rPr>
            </w:pPr>
          </w:p>
        </w:tc>
        <w:tc>
          <w:tcPr>
            <w:tcW w:w="1357" w:type="dxa"/>
            <w:tcBorders>
              <w:bottom w:val="single" w:sz="4" w:space="0" w:color="auto"/>
            </w:tcBorders>
          </w:tcPr>
          <w:p w14:paraId="2DD17557" w14:textId="77777777" w:rsidR="00D459C7" w:rsidRPr="00955618" w:rsidRDefault="00D459C7" w:rsidP="00D459C7">
            <w:pPr>
              <w:rPr>
                <w:rFonts w:ascii="Arial" w:hAnsi="Arial" w:cs="Arial"/>
                <w:b/>
                <w:bCs/>
                <w:color w:val="000000" w:themeColor="text1"/>
                <w:sz w:val="22"/>
              </w:rPr>
            </w:pPr>
          </w:p>
        </w:tc>
      </w:tr>
      <w:tr w:rsidR="001739DE" w:rsidRPr="00955618" w14:paraId="4B43513B" w14:textId="77777777" w:rsidTr="004D1CE4">
        <w:trPr>
          <w:trHeight w:val="1149"/>
        </w:trPr>
        <w:tc>
          <w:tcPr>
            <w:tcW w:w="3049" w:type="dxa"/>
            <w:tcBorders>
              <w:bottom w:val="single" w:sz="4" w:space="0" w:color="auto"/>
            </w:tcBorders>
          </w:tcPr>
          <w:p w14:paraId="0805E832" w14:textId="77777777" w:rsidR="00D459C7" w:rsidRPr="00955618" w:rsidRDefault="00D459C7" w:rsidP="00D459C7">
            <w:pPr>
              <w:rPr>
                <w:rFonts w:ascii="Arial" w:hAnsi="Arial" w:cs="Arial"/>
                <w:b/>
                <w:bCs/>
                <w:color w:val="000000" w:themeColor="text1"/>
                <w:sz w:val="22"/>
              </w:rPr>
            </w:pPr>
            <w:r>
              <w:rPr>
                <w:rFonts w:ascii="Arial" w:hAnsi="Arial" w:cs="Arial"/>
                <w:b/>
                <w:bCs/>
                <w:color w:val="000000" w:themeColor="text1"/>
                <w:sz w:val="22"/>
              </w:rPr>
              <w:t>MFA</w:t>
            </w:r>
          </w:p>
          <w:p w14:paraId="6BFDD813" w14:textId="65A98793" w:rsidR="00D459C7" w:rsidRPr="00EF5A40" w:rsidRDefault="00D459C7" w:rsidP="00D459C7">
            <w:pPr>
              <w:rPr>
                <w:rFonts w:ascii="Arial" w:hAnsi="Arial" w:cs="Arial"/>
                <w:b/>
                <w:bCs/>
                <w:color w:val="000000" w:themeColor="text1"/>
                <w:sz w:val="22"/>
              </w:rPr>
            </w:pPr>
            <w:r w:rsidRPr="00955618">
              <w:rPr>
                <w:rFonts w:ascii="Arial" w:hAnsi="Arial" w:cs="Arial"/>
                <w:bCs/>
                <w:color w:val="000000" w:themeColor="text1"/>
                <w:sz w:val="22"/>
              </w:rPr>
              <w:t>2.2.2</w:t>
            </w:r>
          </w:p>
        </w:tc>
        <w:tc>
          <w:tcPr>
            <w:tcW w:w="1633" w:type="dxa"/>
            <w:tcBorders>
              <w:bottom w:val="single" w:sz="4" w:space="0" w:color="auto"/>
            </w:tcBorders>
          </w:tcPr>
          <w:p w14:paraId="04574D83" w14:textId="49C4059C" w:rsidR="00D459C7"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5B38124D"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Leistungen von </w:t>
            </w:r>
            <w:r>
              <w:rPr>
                <w:rFonts w:ascii="Arial" w:hAnsi="Arial" w:cs="Arial"/>
                <w:color w:val="000000" w:themeColor="text1"/>
                <w:sz w:val="22"/>
              </w:rPr>
              <w:t>MFA</w:t>
            </w:r>
            <w:r w:rsidRPr="00955618">
              <w:rPr>
                <w:rFonts w:ascii="Arial" w:hAnsi="Arial" w:cs="Arial"/>
                <w:color w:val="000000" w:themeColor="text1"/>
                <w:sz w:val="22"/>
              </w:rPr>
              <w:t xml:space="preserve"> sind nicht abrechenbar, außer im Zusammenhang mit den Ziffern 77x (Diagnostik und Therapie</w:t>
            </w:r>
            <w:r>
              <w:rPr>
                <w:rFonts w:ascii="Arial" w:hAnsi="Arial" w:cs="Arial"/>
                <w:color w:val="000000" w:themeColor="text1"/>
                <w:sz w:val="22"/>
              </w:rPr>
              <w:t xml:space="preserve"> </w:t>
            </w:r>
            <w:r w:rsidRPr="00676E5B">
              <w:rPr>
                <w:rFonts w:ascii="Arial" w:hAnsi="Arial" w:cs="Arial"/>
                <w:color w:val="000000" w:themeColor="text1"/>
                <w:sz w:val="22"/>
              </w:rPr>
              <w:t>(z. B. Blutabnahme, Injektionen usw.)</w:t>
            </w:r>
            <w:r w:rsidRPr="00955618">
              <w:rPr>
                <w:rFonts w:ascii="Arial" w:hAnsi="Arial" w:cs="Arial"/>
                <w:color w:val="000000" w:themeColor="text1"/>
                <w:sz w:val="22"/>
              </w:rPr>
              <w:t>).</w:t>
            </w:r>
          </w:p>
          <w:p w14:paraId="244550C4" w14:textId="77777777"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11230185" w14:textId="1E7B04EE"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Auch Pkt. </w:t>
            </w:r>
            <w:r w:rsidR="007D63A9">
              <w:rPr>
                <w:rFonts w:ascii="Arial" w:hAnsi="Arial" w:cs="Arial"/>
                <w:color w:val="000000" w:themeColor="text1"/>
                <w:sz w:val="22"/>
              </w:rPr>
              <w:t xml:space="preserve">2.2.7 </w:t>
            </w:r>
            <w:r w:rsidRPr="00955618">
              <w:rPr>
                <w:rFonts w:ascii="Arial" w:hAnsi="Arial" w:cs="Arial"/>
                <w:color w:val="000000" w:themeColor="text1"/>
                <w:sz w:val="22"/>
              </w:rPr>
              <w:t>Verwaltungstätigkeiten</w:t>
            </w:r>
            <w:r w:rsidR="007D63A9">
              <w:rPr>
                <w:rFonts w:ascii="Arial" w:hAnsi="Arial" w:cs="Arial"/>
                <w:color w:val="000000" w:themeColor="text1"/>
                <w:sz w:val="22"/>
              </w:rPr>
              <w:t xml:space="preserve"> </w:t>
            </w:r>
          </w:p>
          <w:p w14:paraId="12382F32" w14:textId="06FE143A" w:rsidR="00D459C7" w:rsidRPr="00955618" w:rsidRDefault="00D459C7" w:rsidP="00D459C7">
            <w:pPr>
              <w:rPr>
                <w:rFonts w:ascii="Arial" w:hAnsi="Arial" w:cs="Arial"/>
                <w:b/>
                <w:bCs/>
                <w:color w:val="000000" w:themeColor="text1"/>
                <w:sz w:val="22"/>
              </w:rPr>
            </w:pPr>
            <w:r w:rsidRPr="00955618">
              <w:rPr>
                <w:rFonts w:ascii="Arial" w:hAnsi="Arial" w:cs="Arial"/>
                <w:color w:val="000000" w:themeColor="text1"/>
                <w:sz w:val="22"/>
              </w:rPr>
              <w:t>beachten</w:t>
            </w:r>
          </w:p>
        </w:tc>
        <w:tc>
          <w:tcPr>
            <w:tcW w:w="1357" w:type="dxa"/>
            <w:tcBorders>
              <w:bottom w:val="single" w:sz="4" w:space="0" w:color="auto"/>
            </w:tcBorders>
          </w:tcPr>
          <w:p w14:paraId="1077494A" w14:textId="77777777" w:rsidR="00D459C7" w:rsidRPr="00955618" w:rsidRDefault="00D459C7" w:rsidP="00D459C7">
            <w:pPr>
              <w:rPr>
                <w:rFonts w:ascii="Arial" w:hAnsi="Arial" w:cs="Arial"/>
                <w:b/>
                <w:bCs/>
                <w:color w:val="000000" w:themeColor="text1"/>
                <w:sz w:val="22"/>
              </w:rPr>
            </w:pPr>
          </w:p>
        </w:tc>
      </w:tr>
      <w:tr w:rsidR="001739DE" w:rsidRPr="00955618" w14:paraId="0550EDC8" w14:textId="77777777" w:rsidTr="004D1CE4">
        <w:trPr>
          <w:trHeight w:val="1149"/>
        </w:trPr>
        <w:tc>
          <w:tcPr>
            <w:tcW w:w="3049" w:type="dxa"/>
            <w:tcBorders>
              <w:bottom w:val="single" w:sz="4" w:space="0" w:color="auto"/>
            </w:tcBorders>
          </w:tcPr>
          <w:p w14:paraId="2EC8EC3B" w14:textId="77777777" w:rsidR="00D459C7" w:rsidRPr="00EF5A40" w:rsidRDefault="00D459C7" w:rsidP="00D459C7">
            <w:pPr>
              <w:rPr>
                <w:rFonts w:ascii="Arial" w:hAnsi="Arial" w:cs="Arial"/>
                <w:b/>
                <w:bCs/>
                <w:color w:val="000000" w:themeColor="text1"/>
                <w:sz w:val="22"/>
              </w:rPr>
            </w:pPr>
            <w:r w:rsidRPr="00EF5A40">
              <w:rPr>
                <w:rFonts w:ascii="Arial" w:hAnsi="Arial" w:cs="Arial"/>
                <w:b/>
                <w:bCs/>
                <w:color w:val="000000" w:themeColor="text1"/>
                <w:sz w:val="22"/>
              </w:rPr>
              <w:t>Nachbeobachtung nach Injektionen</w:t>
            </w:r>
          </w:p>
          <w:p w14:paraId="6D1B65ED" w14:textId="77777777" w:rsidR="00D459C7" w:rsidRPr="00955618" w:rsidRDefault="00D459C7" w:rsidP="00D459C7">
            <w:pPr>
              <w:rPr>
                <w:color w:val="000000" w:themeColor="text1"/>
              </w:rPr>
            </w:pPr>
            <w:r w:rsidRPr="00955618">
              <w:rPr>
                <w:rFonts w:ascii="Arial" w:hAnsi="Arial" w:cs="Arial"/>
                <w:color w:val="000000" w:themeColor="text1"/>
                <w:sz w:val="22"/>
                <w:szCs w:val="22"/>
              </w:rPr>
              <w:t>2.1.11</w:t>
            </w:r>
          </w:p>
        </w:tc>
        <w:tc>
          <w:tcPr>
            <w:tcW w:w="1633" w:type="dxa"/>
            <w:tcBorders>
              <w:bottom w:val="single" w:sz="4" w:space="0" w:color="auto"/>
            </w:tcBorders>
          </w:tcPr>
          <w:p w14:paraId="6E4F7D8C" w14:textId="374D3D7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3266BDC1" w14:textId="27C75FE8" w:rsidR="00D459C7" w:rsidRDefault="00D459C7" w:rsidP="00D459C7">
            <w:pPr>
              <w:rPr>
                <w:rFonts w:ascii="Arial" w:hAnsi="Arial" w:cs="Arial"/>
                <w:color w:val="000000" w:themeColor="text1"/>
                <w:sz w:val="22"/>
              </w:rPr>
            </w:pPr>
            <w:r w:rsidRPr="00955618">
              <w:rPr>
                <w:rFonts w:ascii="Arial" w:hAnsi="Arial" w:cs="Arial"/>
                <w:color w:val="000000" w:themeColor="text1"/>
                <w:sz w:val="22"/>
              </w:rPr>
              <w:t>Die vorgeschriebene Nachbeobachtungszeit bei der Injektion von bestimmten Arzneimitteln (z.</w:t>
            </w:r>
            <w:r w:rsidR="00283967">
              <w:rPr>
                <w:rFonts w:ascii="Arial" w:hAnsi="Arial" w:cs="Arial"/>
                <w:color w:val="000000" w:themeColor="text1"/>
                <w:sz w:val="22"/>
              </w:rPr>
              <w:t xml:space="preserve"> </w:t>
            </w:r>
            <w:r w:rsidRPr="00955618">
              <w:rPr>
                <w:rFonts w:ascii="Arial" w:hAnsi="Arial" w:cs="Arial"/>
                <w:color w:val="000000" w:themeColor="text1"/>
                <w:sz w:val="22"/>
              </w:rPr>
              <w:t xml:space="preserve">B. Zypadhera) durch die „angemessen geschulte Berufsgruppe“, in einem Setting gemäß Wirtschaftlichkeitsgebot (Gruppe oder intermittierend bei Einzelbetreuung) ist abrechenbar. </w:t>
            </w:r>
            <w:r w:rsidRPr="00955618">
              <w:rPr>
                <w:rFonts w:ascii="Arial" w:hAnsi="Arial" w:cs="Arial"/>
                <w:color w:val="000000" w:themeColor="text1"/>
                <w:sz w:val="22"/>
              </w:rPr>
              <w:lastRenderedPageBreak/>
              <w:t>Eine inhaltliche Dokumentation im Falle von auftretenden Symptomen sowie obligatorisch zum Zustand bei Beendigung der Überwachung ist erforderlich.</w:t>
            </w:r>
          </w:p>
          <w:p w14:paraId="7A905A18" w14:textId="7171B62D"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0EDD3CD6" w14:textId="77777777" w:rsidR="00D459C7" w:rsidRPr="00955618" w:rsidRDefault="00D459C7" w:rsidP="00D459C7">
            <w:pPr>
              <w:rPr>
                <w:rFonts w:ascii="Arial" w:hAnsi="Arial" w:cs="Arial"/>
                <w:b/>
                <w:bCs/>
                <w:color w:val="000000" w:themeColor="text1"/>
                <w:sz w:val="22"/>
              </w:rPr>
            </w:pPr>
          </w:p>
          <w:p w14:paraId="5873A9CB" w14:textId="77777777" w:rsidR="00D459C7" w:rsidRPr="00955618" w:rsidRDefault="00D459C7" w:rsidP="00D459C7">
            <w:pPr>
              <w:rPr>
                <w:rFonts w:ascii="Arial" w:hAnsi="Arial" w:cs="Arial"/>
                <w:b/>
                <w:bCs/>
                <w:color w:val="000000" w:themeColor="text1"/>
                <w:sz w:val="22"/>
              </w:rPr>
            </w:pPr>
          </w:p>
          <w:p w14:paraId="6845B898" w14:textId="77777777" w:rsidR="00D459C7" w:rsidRPr="00955618" w:rsidRDefault="00D459C7" w:rsidP="00D459C7">
            <w:pPr>
              <w:rPr>
                <w:rFonts w:ascii="Arial" w:hAnsi="Arial" w:cs="Arial"/>
                <w:b/>
                <w:bCs/>
                <w:color w:val="000000" w:themeColor="text1"/>
                <w:sz w:val="22"/>
              </w:rPr>
            </w:pPr>
          </w:p>
          <w:p w14:paraId="55C795FB" w14:textId="77777777" w:rsidR="00D459C7" w:rsidRPr="00955618" w:rsidRDefault="00D459C7" w:rsidP="00D459C7">
            <w:pPr>
              <w:rPr>
                <w:rFonts w:ascii="Arial" w:hAnsi="Arial" w:cs="Arial"/>
                <w:b/>
                <w:bCs/>
                <w:color w:val="000000" w:themeColor="text1"/>
                <w:sz w:val="22"/>
              </w:rPr>
            </w:pPr>
          </w:p>
          <w:p w14:paraId="64D19433" w14:textId="77777777" w:rsidR="00D459C7" w:rsidRPr="00955618" w:rsidRDefault="00D459C7" w:rsidP="00D459C7">
            <w:pPr>
              <w:rPr>
                <w:rFonts w:ascii="Arial" w:hAnsi="Arial" w:cs="Arial"/>
                <w:color w:val="000000" w:themeColor="text1"/>
                <w:sz w:val="22"/>
              </w:rPr>
            </w:pPr>
          </w:p>
          <w:p w14:paraId="572F5672" w14:textId="0F817A9A"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lastRenderedPageBreak/>
              <w:t xml:space="preserve">Beachte Pkt. </w:t>
            </w:r>
            <w:r w:rsidR="004C1843">
              <w:rPr>
                <w:rFonts w:ascii="Arial" w:hAnsi="Arial" w:cs="Arial"/>
                <w:color w:val="000000" w:themeColor="text1"/>
                <w:sz w:val="22"/>
              </w:rPr>
              <w:t xml:space="preserve">2.1.7 </w:t>
            </w:r>
            <w:r w:rsidRPr="00955618">
              <w:rPr>
                <w:rFonts w:ascii="Arial" w:hAnsi="Arial" w:cs="Arial"/>
                <w:color w:val="000000" w:themeColor="text1"/>
                <w:sz w:val="22"/>
              </w:rPr>
              <w:t>„Leistungsziffernsystematik“</w:t>
            </w:r>
          </w:p>
          <w:p w14:paraId="4E143F29" w14:textId="77777777" w:rsidR="00D459C7" w:rsidRPr="00955618" w:rsidRDefault="00D459C7" w:rsidP="00D459C7">
            <w:pPr>
              <w:rPr>
                <w:rFonts w:ascii="Arial" w:hAnsi="Arial" w:cs="Arial"/>
                <w:b/>
                <w:bCs/>
                <w:color w:val="000000" w:themeColor="text1"/>
                <w:sz w:val="22"/>
              </w:rPr>
            </w:pPr>
          </w:p>
        </w:tc>
        <w:tc>
          <w:tcPr>
            <w:tcW w:w="1357" w:type="dxa"/>
            <w:tcBorders>
              <w:bottom w:val="single" w:sz="4" w:space="0" w:color="auto"/>
            </w:tcBorders>
          </w:tcPr>
          <w:p w14:paraId="79C7E95F" w14:textId="77777777" w:rsidR="00D459C7" w:rsidRPr="00955618" w:rsidRDefault="00D459C7" w:rsidP="00D459C7">
            <w:pPr>
              <w:rPr>
                <w:rFonts w:ascii="Arial" w:hAnsi="Arial" w:cs="Arial"/>
                <w:b/>
                <w:bCs/>
                <w:color w:val="000000" w:themeColor="text1"/>
                <w:sz w:val="22"/>
              </w:rPr>
            </w:pPr>
          </w:p>
        </w:tc>
      </w:tr>
      <w:tr w:rsidR="001739DE" w:rsidRPr="00955618" w14:paraId="53DC7AB9" w14:textId="77777777" w:rsidTr="004D1CE4">
        <w:trPr>
          <w:trHeight w:val="1236"/>
        </w:trPr>
        <w:tc>
          <w:tcPr>
            <w:tcW w:w="3049" w:type="dxa"/>
            <w:tcBorders>
              <w:top w:val="single" w:sz="4" w:space="0" w:color="auto"/>
            </w:tcBorders>
          </w:tcPr>
          <w:p w14:paraId="0CBEC656" w14:textId="472FEF04" w:rsidR="00D459C7" w:rsidRPr="00955618" w:rsidRDefault="00D459C7" w:rsidP="00D459C7">
            <w:pPr>
              <w:rPr>
                <w:rFonts w:ascii="Arial" w:hAnsi="Arial" w:cs="Arial"/>
                <w:sz w:val="22"/>
              </w:rPr>
            </w:pPr>
            <w:r w:rsidRPr="00EF5A40">
              <w:rPr>
                <w:rFonts w:ascii="Arial" w:hAnsi="Arial" w:cs="Arial"/>
                <w:b/>
                <w:bCs/>
                <w:color w:val="000000" w:themeColor="text1"/>
                <w:sz w:val="22"/>
              </w:rPr>
              <w:t>Nichtärztliche Leistungen</w:t>
            </w:r>
          </w:p>
          <w:p w14:paraId="0DCB78F5"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2.2.5</w:t>
            </w:r>
          </w:p>
        </w:tc>
        <w:tc>
          <w:tcPr>
            <w:tcW w:w="1633" w:type="dxa"/>
            <w:tcBorders>
              <w:top w:val="single" w:sz="4" w:space="0" w:color="auto"/>
            </w:tcBorders>
          </w:tcPr>
          <w:p w14:paraId="3C67918C" w14:textId="539B4B7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top w:val="single" w:sz="4" w:space="0" w:color="auto"/>
            </w:tcBorders>
          </w:tcPr>
          <w:p w14:paraId="6C476A65" w14:textId="13F541B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Durchführung von nicht</w:t>
            </w:r>
            <w:r w:rsidR="00283967">
              <w:rPr>
                <w:rFonts w:ascii="Arial" w:hAnsi="Arial" w:cs="Arial"/>
                <w:color w:val="000000" w:themeColor="text1"/>
                <w:sz w:val="22"/>
              </w:rPr>
              <w:t>-</w:t>
            </w:r>
            <w:r w:rsidRPr="00955618">
              <w:rPr>
                <w:rFonts w:ascii="Arial" w:hAnsi="Arial" w:cs="Arial"/>
                <w:color w:val="000000" w:themeColor="text1"/>
                <w:sz w:val="22"/>
              </w:rPr>
              <w:t>ärztlichen Leistungen ist, ohne persönlichen Arzt-Patienten</w:t>
            </w:r>
            <w:r w:rsidR="00283967">
              <w:rPr>
                <w:rFonts w:ascii="Arial" w:hAnsi="Arial" w:cs="Arial"/>
                <w:color w:val="000000" w:themeColor="text1"/>
                <w:sz w:val="22"/>
              </w:rPr>
              <w:t>-K</w:t>
            </w:r>
            <w:r w:rsidRPr="00955618">
              <w:rPr>
                <w:rFonts w:ascii="Arial" w:hAnsi="Arial" w:cs="Arial"/>
                <w:color w:val="000000" w:themeColor="text1"/>
                <w:sz w:val="22"/>
              </w:rPr>
              <w:t xml:space="preserve">ontakt mindestens 1 x pro Quartal, nur in begründeten Ausnahmefällen möglich. </w:t>
            </w:r>
          </w:p>
          <w:p w14:paraId="0AC989EC"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Ausnahmefälle sind:</w:t>
            </w:r>
          </w:p>
          <w:p w14:paraId="70BCE57E" w14:textId="6452C276" w:rsidR="00D459C7" w:rsidRPr="00955618" w:rsidRDefault="00D459C7" w:rsidP="00D459C7">
            <w:pPr>
              <w:pStyle w:val="Listenabsatz"/>
              <w:numPr>
                <w:ilvl w:val="0"/>
                <w:numId w:val="12"/>
              </w:numPr>
              <w:rPr>
                <w:color w:val="000000" w:themeColor="text1"/>
              </w:rPr>
            </w:pPr>
            <w:r w:rsidRPr="00955618">
              <w:rPr>
                <w:color w:val="000000" w:themeColor="text1"/>
              </w:rPr>
              <w:t>Abbruch durch Patient vor geplantem Termin</w:t>
            </w:r>
          </w:p>
          <w:p w14:paraId="19BD0CE9" w14:textId="77777777" w:rsidR="00D459C7" w:rsidRPr="00955618" w:rsidRDefault="00D459C7" w:rsidP="00D459C7">
            <w:pPr>
              <w:pStyle w:val="Listenabsatz"/>
              <w:numPr>
                <w:ilvl w:val="0"/>
                <w:numId w:val="12"/>
              </w:numPr>
              <w:rPr>
                <w:color w:val="000000" w:themeColor="text1"/>
              </w:rPr>
            </w:pPr>
            <w:r w:rsidRPr="00955618">
              <w:rPr>
                <w:color w:val="000000" w:themeColor="text1"/>
              </w:rPr>
              <w:t>ärztliche Kontakte (auch im Rahmen eines stationären/teilstationären Aufenthaltes in der eigenen Klinik) max. 4 Wochen vor oder nach Quartalsende</w:t>
            </w:r>
          </w:p>
          <w:p w14:paraId="04A4FD1F" w14:textId="1DD9367A" w:rsidR="00D459C7" w:rsidRPr="00955618" w:rsidRDefault="00D459C7" w:rsidP="00D459C7">
            <w:pPr>
              <w:pStyle w:val="Listenabsatz"/>
              <w:numPr>
                <w:ilvl w:val="0"/>
                <w:numId w:val="12"/>
              </w:numPr>
              <w:rPr>
                <w:color w:val="000000" w:themeColor="text1"/>
              </w:rPr>
            </w:pPr>
            <w:r w:rsidRPr="00955618">
              <w:rPr>
                <w:color w:val="000000" w:themeColor="text1"/>
              </w:rPr>
              <w:t>Enge Führung durch Bezugsperson unter Absprache mit Arzt, z.</w:t>
            </w:r>
            <w:r w:rsidR="00283967">
              <w:rPr>
                <w:color w:val="000000" w:themeColor="text1"/>
              </w:rPr>
              <w:t xml:space="preserve"> </w:t>
            </w:r>
            <w:r w:rsidRPr="00955618">
              <w:rPr>
                <w:color w:val="000000" w:themeColor="text1"/>
              </w:rPr>
              <w:t>B. bei Noncompliance.</w:t>
            </w:r>
          </w:p>
          <w:p w14:paraId="488F43C3" w14:textId="3B37212B" w:rsidR="00D459C7" w:rsidRPr="00955618" w:rsidRDefault="00D459C7" w:rsidP="00D459C7">
            <w:pPr>
              <w:pStyle w:val="Listenabsatz"/>
              <w:numPr>
                <w:ilvl w:val="0"/>
                <w:numId w:val="12"/>
              </w:numPr>
              <w:rPr>
                <w:color w:val="000000" w:themeColor="text1"/>
              </w:rPr>
            </w:pPr>
            <w:r w:rsidRPr="00955618">
              <w:rPr>
                <w:color w:val="000000" w:themeColor="text1"/>
              </w:rPr>
              <w:t xml:space="preserve">Leistungen beschränken sich auf psychologische Diagnostik oder psychotherapeutische Behandlung. </w:t>
            </w:r>
          </w:p>
          <w:p w14:paraId="3B275DD7" w14:textId="310BA377" w:rsidR="00D459C7" w:rsidRPr="00955618" w:rsidRDefault="00D459C7" w:rsidP="00D459C7">
            <w:pPr>
              <w:pStyle w:val="Listenabsatz"/>
              <w:numPr>
                <w:ilvl w:val="0"/>
                <w:numId w:val="12"/>
              </w:numPr>
              <w:rPr>
                <w:color w:val="000000" w:themeColor="text1"/>
              </w:rPr>
            </w:pPr>
            <w:r w:rsidRPr="00955618">
              <w:rPr>
                <w:color w:val="000000" w:themeColor="text1"/>
              </w:rPr>
              <w:t>Für die Dauer eines Quartals sind sozialpädagogische Leistungen auch im Zusammenhang mit ausschließlich psychologischen</w:t>
            </w:r>
            <w:r>
              <w:rPr>
                <w:color w:val="000000" w:themeColor="text1"/>
              </w:rPr>
              <w:t xml:space="preserve"> oder</w:t>
            </w:r>
            <w:r w:rsidR="00283967">
              <w:rPr>
                <w:color w:val="000000" w:themeColor="text1"/>
              </w:rPr>
              <w:t xml:space="preserve"> </w:t>
            </w:r>
            <w:r w:rsidRPr="00955618">
              <w:rPr>
                <w:color w:val="000000" w:themeColor="text1"/>
              </w:rPr>
              <w:t>psychotherapeutischen Leistungen möglich.</w:t>
            </w:r>
          </w:p>
          <w:p w14:paraId="7047DE50" w14:textId="46BC5E73" w:rsidR="00D459C7" w:rsidRPr="00955618" w:rsidRDefault="004C1843" w:rsidP="00D459C7">
            <w:pPr>
              <w:pStyle w:val="Listenabsatz"/>
              <w:numPr>
                <w:ilvl w:val="0"/>
                <w:numId w:val="12"/>
              </w:numPr>
              <w:rPr>
                <w:color w:val="000000" w:themeColor="text1"/>
              </w:rPr>
            </w:pPr>
            <w:r>
              <w:rPr>
                <w:color w:val="000000" w:themeColor="text1"/>
              </w:rPr>
              <w:t>Für die Dauer eines Quartals kann d</w:t>
            </w:r>
            <w:r w:rsidR="00D459C7" w:rsidRPr="00955618">
              <w:rPr>
                <w:color w:val="000000" w:themeColor="text1"/>
              </w:rPr>
              <w:t xml:space="preserve">ie Indikation zur Erbringung der „nicht-ärztlichen“ Leistungen vom Arzt auch im Rahmen einer Verlaufs- oder Fallbesprechung, oder eines ärztlichen Telefonats mit dem Patienten, medizinisch verantwortlich gestellt werden. </w:t>
            </w:r>
          </w:p>
          <w:p w14:paraId="1028A1C5" w14:textId="77777777" w:rsidR="00D459C7" w:rsidRPr="00955618" w:rsidRDefault="00D459C7" w:rsidP="00D459C7">
            <w:pPr>
              <w:rPr>
                <w:rFonts w:ascii="Arial" w:hAnsi="Arial" w:cs="Arial"/>
                <w:color w:val="000000" w:themeColor="text1"/>
                <w:sz w:val="22"/>
              </w:rPr>
            </w:pPr>
          </w:p>
          <w:p w14:paraId="01D2BC0A" w14:textId="42E6AC8C" w:rsidR="00D459C7" w:rsidRPr="00955618" w:rsidRDefault="00D459C7" w:rsidP="00D459C7">
            <w:pPr>
              <w:pStyle w:val="Textkrper2"/>
              <w:rPr>
                <w:rFonts w:cs="Arial"/>
                <w:color w:val="000000" w:themeColor="text1"/>
              </w:rPr>
            </w:pPr>
            <w:r w:rsidRPr="00955618">
              <w:rPr>
                <w:rFonts w:cs="Arial"/>
                <w:color w:val="000000" w:themeColor="text1"/>
              </w:rPr>
              <w:t xml:space="preserve">Bei evtl. Nachfrage des Kostenträgers hat die </w:t>
            </w:r>
            <w:r>
              <w:rPr>
                <w:rFonts w:cs="Arial"/>
                <w:color w:val="000000" w:themeColor="text1"/>
              </w:rPr>
              <w:t xml:space="preserve">Institutsambulanz </w:t>
            </w:r>
            <w:r w:rsidRPr="00955618">
              <w:rPr>
                <w:rFonts w:cs="Arial"/>
                <w:color w:val="000000" w:themeColor="text1"/>
              </w:rPr>
              <w:t>die entsprechende Konstellation zu benennen.</w:t>
            </w:r>
          </w:p>
          <w:p w14:paraId="0C848B53" w14:textId="77777777" w:rsidR="00D459C7" w:rsidRPr="00955618" w:rsidRDefault="00D459C7" w:rsidP="00D459C7">
            <w:pPr>
              <w:pStyle w:val="Textkrper2"/>
              <w:rPr>
                <w:rFonts w:cs="Arial"/>
                <w:color w:val="000000" w:themeColor="text1"/>
              </w:rPr>
            </w:pPr>
          </w:p>
          <w:p w14:paraId="7C06B00C" w14:textId="77777777" w:rsidR="004C1843" w:rsidRDefault="00D459C7" w:rsidP="00D459C7">
            <w:pPr>
              <w:pStyle w:val="Textkrper2"/>
              <w:rPr>
                <w:rFonts w:cs="Arial"/>
                <w:color w:val="000000" w:themeColor="text1"/>
              </w:rPr>
            </w:pPr>
            <w:r w:rsidRPr="00955618">
              <w:rPr>
                <w:rFonts w:cs="Arial"/>
                <w:color w:val="000000" w:themeColor="text1"/>
              </w:rPr>
              <w:t>Die Geb.-Ziff. 100 bzw.</w:t>
            </w:r>
            <w:r w:rsidR="00283967">
              <w:rPr>
                <w:rFonts w:cs="Arial"/>
                <w:color w:val="000000" w:themeColor="text1"/>
              </w:rPr>
              <w:t xml:space="preserve"> </w:t>
            </w:r>
            <w:r w:rsidRPr="00955618">
              <w:rPr>
                <w:rFonts w:cs="Arial"/>
                <w:color w:val="000000" w:themeColor="text1"/>
              </w:rPr>
              <w:t>0100 dokumentiert definitionsgemäß keinen persönlichen Arzt-</w:t>
            </w:r>
          </w:p>
          <w:p w14:paraId="53E1B1C4" w14:textId="50DE5243" w:rsidR="00D459C7" w:rsidRPr="00955618" w:rsidRDefault="00D459C7" w:rsidP="00D459C7">
            <w:pPr>
              <w:pStyle w:val="Textkrper2"/>
              <w:rPr>
                <w:rFonts w:cs="Arial"/>
                <w:color w:val="000000" w:themeColor="text1"/>
              </w:rPr>
            </w:pPr>
            <w:r w:rsidRPr="00955618">
              <w:rPr>
                <w:rFonts w:cs="Arial"/>
                <w:color w:val="000000" w:themeColor="text1"/>
              </w:rPr>
              <w:t>Patienten</w:t>
            </w:r>
            <w:r>
              <w:rPr>
                <w:rFonts w:cs="Arial"/>
                <w:color w:val="000000" w:themeColor="text1"/>
              </w:rPr>
              <w:t>-</w:t>
            </w:r>
            <w:r w:rsidR="00283967">
              <w:rPr>
                <w:rFonts w:cs="Arial"/>
                <w:color w:val="000000" w:themeColor="text1"/>
              </w:rPr>
              <w:t>K</w:t>
            </w:r>
            <w:r w:rsidRPr="00955618">
              <w:rPr>
                <w:rFonts w:cs="Arial"/>
                <w:color w:val="000000" w:themeColor="text1"/>
              </w:rPr>
              <w:t>ontakt. Der Ansatz dieser Gebührenziffern ist daher per se nicht geeignet die Durchführung von nicht-ärztlichen Leistungen zu legitimieren.</w:t>
            </w:r>
          </w:p>
          <w:p w14:paraId="146D8908" w14:textId="77777777" w:rsidR="00D459C7" w:rsidRPr="00955618" w:rsidRDefault="00D459C7" w:rsidP="00D459C7">
            <w:pPr>
              <w:pStyle w:val="Textkrper2"/>
              <w:rPr>
                <w:rFonts w:cs="Arial"/>
                <w:color w:val="000000" w:themeColor="text1"/>
              </w:rPr>
            </w:pPr>
            <w:r w:rsidRPr="00955618">
              <w:rPr>
                <w:rFonts w:cs="Arial"/>
                <w:color w:val="000000" w:themeColor="text1"/>
              </w:rPr>
              <w:lastRenderedPageBreak/>
              <w:t>Siehe 2.1.12 „Arzneimittelverordnung ohne Patientenkontakt“</w:t>
            </w:r>
          </w:p>
        </w:tc>
        <w:tc>
          <w:tcPr>
            <w:tcW w:w="2867" w:type="dxa"/>
            <w:tcBorders>
              <w:top w:val="single" w:sz="4" w:space="0" w:color="auto"/>
            </w:tcBorders>
          </w:tcPr>
          <w:p w14:paraId="492EC47C" w14:textId="77777777" w:rsidR="00D459C7" w:rsidRPr="00955618" w:rsidRDefault="00D459C7" w:rsidP="00D459C7">
            <w:pPr>
              <w:rPr>
                <w:rFonts w:ascii="Arial" w:hAnsi="Arial" w:cs="Arial"/>
                <w:b/>
                <w:bCs/>
                <w:color w:val="000000" w:themeColor="text1"/>
                <w:sz w:val="22"/>
              </w:rPr>
            </w:pPr>
          </w:p>
        </w:tc>
        <w:tc>
          <w:tcPr>
            <w:tcW w:w="1357" w:type="dxa"/>
            <w:tcBorders>
              <w:top w:val="single" w:sz="4" w:space="0" w:color="auto"/>
            </w:tcBorders>
          </w:tcPr>
          <w:p w14:paraId="128A0487" w14:textId="6B0A5F19" w:rsidR="00D459C7" w:rsidRPr="00FB2EC9" w:rsidRDefault="00D459C7" w:rsidP="00D459C7">
            <w:pPr>
              <w:rPr>
                <w:rFonts w:ascii="Arial" w:hAnsi="Arial" w:cs="Arial"/>
                <w:bCs/>
                <w:color w:val="000000" w:themeColor="text1"/>
                <w:sz w:val="22"/>
              </w:rPr>
            </w:pPr>
          </w:p>
        </w:tc>
      </w:tr>
      <w:tr w:rsidR="001739DE" w:rsidRPr="00955618" w14:paraId="2EFAD8D0" w14:textId="77777777" w:rsidTr="004D1CE4">
        <w:trPr>
          <w:trHeight w:val="483"/>
        </w:trPr>
        <w:tc>
          <w:tcPr>
            <w:tcW w:w="3049" w:type="dxa"/>
          </w:tcPr>
          <w:p w14:paraId="4C5CDE95" w14:textId="77777777" w:rsidR="00D459C7" w:rsidRPr="00EF5A40" w:rsidRDefault="00D459C7" w:rsidP="00D459C7">
            <w:pPr>
              <w:rPr>
                <w:rFonts w:ascii="Arial" w:hAnsi="Arial" w:cs="Arial"/>
                <w:b/>
                <w:bCs/>
                <w:color w:val="000000" w:themeColor="text1"/>
                <w:sz w:val="22"/>
              </w:rPr>
            </w:pPr>
            <w:r w:rsidRPr="00EF5A40">
              <w:rPr>
                <w:rFonts w:ascii="Arial" w:hAnsi="Arial" w:cs="Arial"/>
                <w:b/>
                <w:bCs/>
                <w:color w:val="000000" w:themeColor="text1"/>
                <w:sz w:val="22"/>
              </w:rPr>
              <w:t>Off-label-Use von Medikamenten</w:t>
            </w:r>
          </w:p>
          <w:p w14:paraId="21D3E235"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1.1.2</w:t>
            </w:r>
          </w:p>
          <w:p w14:paraId="5899CA31" w14:textId="77777777" w:rsidR="00D459C7" w:rsidRPr="00955618" w:rsidRDefault="00D459C7" w:rsidP="00D459C7">
            <w:pPr>
              <w:rPr>
                <w:rFonts w:ascii="Arial" w:hAnsi="Arial" w:cs="Arial"/>
                <w:b/>
                <w:bCs/>
                <w:color w:val="000000" w:themeColor="text1"/>
                <w:sz w:val="22"/>
              </w:rPr>
            </w:pPr>
          </w:p>
        </w:tc>
        <w:tc>
          <w:tcPr>
            <w:tcW w:w="1633" w:type="dxa"/>
          </w:tcPr>
          <w:p w14:paraId="1EEEA9D2" w14:textId="207C2D52"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4F5A5F8" w14:textId="22A7736E"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Hier sind die aktuell gültigen Richtlinien zum Off-label-Use des Gemeinsamen Bundesausschusses auch von den </w:t>
            </w:r>
            <w:r>
              <w:rPr>
                <w:rFonts w:ascii="Arial" w:hAnsi="Arial" w:cs="Arial"/>
                <w:color w:val="000000" w:themeColor="text1"/>
                <w:sz w:val="22"/>
              </w:rPr>
              <w:t xml:space="preserve">Institutsambulanzen </w:t>
            </w:r>
            <w:r w:rsidRPr="00955618">
              <w:rPr>
                <w:rFonts w:ascii="Arial" w:hAnsi="Arial" w:cs="Arial"/>
                <w:color w:val="000000" w:themeColor="text1"/>
                <w:sz w:val="22"/>
              </w:rPr>
              <w:t>zu beachten.</w:t>
            </w:r>
          </w:p>
        </w:tc>
        <w:tc>
          <w:tcPr>
            <w:tcW w:w="2867" w:type="dxa"/>
          </w:tcPr>
          <w:p w14:paraId="1EECFC47" w14:textId="77777777" w:rsidR="00D459C7" w:rsidRPr="00955618" w:rsidRDefault="00D459C7" w:rsidP="00D459C7">
            <w:pPr>
              <w:rPr>
                <w:rFonts w:ascii="Arial" w:hAnsi="Arial" w:cs="Arial"/>
                <w:color w:val="000000" w:themeColor="text1"/>
                <w:sz w:val="22"/>
              </w:rPr>
            </w:pPr>
          </w:p>
        </w:tc>
        <w:tc>
          <w:tcPr>
            <w:tcW w:w="1357" w:type="dxa"/>
          </w:tcPr>
          <w:p w14:paraId="0496F9D3" w14:textId="77777777" w:rsidR="00D459C7" w:rsidRPr="00955618" w:rsidRDefault="00D459C7" w:rsidP="00D459C7">
            <w:pPr>
              <w:rPr>
                <w:rFonts w:ascii="Arial" w:hAnsi="Arial" w:cs="Arial"/>
                <w:color w:val="000000" w:themeColor="text1"/>
                <w:sz w:val="22"/>
              </w:rPr>
            </w:pPr>
          </w:p>
        </w:tc>
      </w:tr>
      <w:tr w:rsidR="001739DE" w:rsidRPr="00955618" w14:paraId="7923F1FC" w14:textId="77777777" w:rsidTr="004D1CE4">
        <w:trPr>
          <w:trHeight w:val="1520"/>
        </w:trPr>
        <w:tc>
          <w:tcPr>
            <w:tcW w:w="3049" w:type="dxa"/>
          </w:tcPr>
          <w:p w14:paraId="685C7023"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Parallele Behandlung, aufsuchend durch zwei Berufsgruppen</w:t>
            </w:r>
          </w:p>
          <w:p w14:paraId="3D46E0FB"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2.3.4</w:t>
            </w:r>
          </w:p>
          <w:p w14:paraId="6331D719"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2.7.2</w:t>
            </w:r>
          </w:p>
        </w:tc>
        <w:tc>
          <w:tcPr>
            <w:tcW w:w="1633" w:type="dxa"/>
          </w:tcPr>
          <w:p w14:paraId="7D763879" w14:textId="6F2B69ED"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93644FF" w14:textId="5942C21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Klärung der Abrechnung paralleler aufsuchender Behandlung 2er unterschiedlicher Berufsgruppen: Jede Berufsgruppe rechnet die Fahrzeit nach der bestehenden Vergütungsregelung separat ab. In der Systematik der Vergütungsregelung wird die Arbeitszeit abgerechnet, insofern ist Fahrzeit </w:t>
            </w:r>
            <w:r w:rsidR="00283967">
              <w:rPr>
                <w:rFonts w:ascii="Arial" w:hAnsi="Arial" w:cs="Arial"/>
                <w:color w:val="000000" w:themeColor="text1"/>
                <w:sz w:val="22"/>
              </w:rPr>
              <w:t xml:space="preserve">der </w:t>
            </w:r>
            <w:r w:rsidRPr="00955618">
              <w:rPr>
                <w:rFonts w:ascii="Arial" w:hAnsi="Arial" w:cs="Arial"/>
                <w:color w:val="000000" w:themeColor="text1"/>
                <w:sz w:val="22"/>
              </w:rPr>
              <w:t xml:space="preserve">Arbeitszeit gleichzusetzen. </w:t>
            </w:r>
          </w:p>
          <w:p w14:paraId="3B616EEC" w14:textId="14F15428" w:rsidR="00D459C7" w:rsidRPr="00955618" w:rsidRDefault="00D459C7" w:rsidP="00D459C7">
            <w:pPr>
              <w:rPr>
                <w:rFonts w:ascii="Arial" w:hAnsi="Arial" w:cs="Arial"/>
                <w:color w:val="000000" w:themeColor="text1"/>
                <w:sz w:val="22"/>
              </w:rPr>
            </w:pPr>
          </w:p>
        </w:tc>
        <w:tc>
          <w:tcPr>
            <w:tcW w:w="2867" w:type="dxa"/>
          </w:tcPr>
          <w:p w14:paraId="25BDA807" w14:textId="4F809F40"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Auch Pkt.</w:t>
            </w:r>
            <w:r w:rsidR="004C1843">
              <w:rPr>
                <w:rFonts w:ascii="Arial" w:hAnsi="Arial" w:cs="Arial"/>
                <w:color w:val="000000" w:themeColor="text1"/>
                <w:sz w:val="22"/>
              </w:rPr>
              <w:t>2.7.1</w:t>
            </w:r>
            <w:r>
              <w:rPr>
                <w:rFonts w:ascii="Arial" w:hAnsi="Arial" w:cs="Arial"/>
                <w:color w:val="000000" w:themeColor="text1"/>
                <w:sz w:val="22"/>
              </w:rPr>
              <w:t xml:space="preserve"> </w:t>
            </w:r>
            <w:r w:rsidRPr="00955618">
              <w:rPr>
                <w:rFonts w:ascii="Arial" w:hAnsi="Arial" w:cs="Arial"/>
                <w:color w:val="000000" w:themeColor="text1"/>
                <w:sz w:val="22"/>
              </w:rPr>
              <w:t>Fahrzeiten beachten</w:t>
            </w:r>
          </w:p>
        </w:tc>
        <w:tc>
          <w:tcPr>
            <w:tcW w:w="1357" w:type="dxa"/>
          </w:tcPr>
          <w:p w14:paraId="77E3CC5D" w14:textId="77777777" w:rsidR="00D459C7" w:rsidRPr="00955618" w:rsidRDefault="00D459C7" w:rsidP="00D459C7">
            <w:pPr>
              <w:rPr>
                <w:rFonts w:ascii="Arial" w:hAnsi="Arial" w:cs="Arial"/>
                <w:color w:val="000000" w:themeColor="text1"/>
                <w:sz w:val="22"/>
              </w:rPr>
            </w:pPr>
          </w:p>
        </w:tc>
      </w:tr>
      <w:tr w:rsidR="001739DE" w:rsidRPr="00955618" w14:paraId="19F92520" w14:textId="77777777" w:rsidTr="004D1CE4">
        <w:trPr>
          <w:trHeight w:val="1098"/>
        </w:trPr>
        <w:tc>
          <w:tcPr>
            <w:tcW w:w="3049" w:type="dxa"/>
          </w:tcPr>
          <w:p w14:paraId="73074775" w14:textId="70AE0745"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 xml:space="preserve">Parallele Behandlung in </w:t>
            </w:r>
            <w:r>
              <w:rPr>
                <w:rFonts w:ascii="Arial" w:hAnsi="Arial" w:cs="Arial"/>
                <w:b/>
                <w:bCs/>
                <w:color w:val="000000" w:themeColor="text1"/>
                <w:sz w:val="22"/>
              </w:rPr>
              <w:t xml:space="preserve">Institutsambulanz </w:t>
            </w:r>
            <w:r w:rsidRPr="00955618">
              <w:rPr>
                <w:rFonts w:ascii="Arial" w:hAnsi="Arial" w:cs="Arial"/>
                <w:b/>
                <w:bCs/>
                <w:color w:val="000000" w:themeColor="text1"/>
                <w:sz w:val="22"/>
              </w:rPr>
              <w:t>und bei niedergelassenen Psychotherapeuten</w:t>
            </w:r>
          </w:p>
          <w:p w14:paraId="794D3788"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1.3.4</w:t>
            </w:r>
          </w:p>
        </w:tc>
        <w:tc>
          <w:tcPr>
            <w:tcW w:w="1633" w:type="dxa"/>
          </w:tcPr>
          <w:p w14:paraId="2FFA400B" w14:textId="5A8EF07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E77C3A8" w14:textId="5F59DCB9"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Eine ärztliche Behandlung in der </w:t>
            </w:r>
            <w:r>
              <w:rPr>
                <w:rFonts w:ascii="Arial" w:hAnsi="Arial" w:cs="Arial"/>
                <w:color w:val="000000" w:themeColor="text1"/>
                <w:sz w:val="22"/>
              </w:rPr>
              <w:t xml:space="preserve">Institutsambulanz </w:t>
            </w:r>
            <w:r w:rsidRPr="00955618">
              <w:rPr>
                <w:rFonts w:ascii="Arial" w:hAnsi="Arial" w:cs="Arial"/>
                <w:color w:val="000000" w:themeColor="text1"/>
                <w:sz w:val="22"/>
              </w:rPr>
              <w:t>und parallel eine ambulante Psychotherapie bei einem niedergelassenen Psychotherapeuten schließen sich nicht grundsätzlich aus.</w:t>
            </w:r>
          </w:p>
        </w:tc>
        <w:tc>
          <w:tcPr>
            <w:tcW w:w="2867" w:type="dxa"/>
          </w:tcPr>
          <w:p w14:paraId="4399DFD2" w14:textId="77777777" w:rsidR="00D459C7" w:rsidRPr="00955618" w:rsidRDefault="00D459C7" w:rsidP="00D459C7">
            <w:pPr>
              <w:rPr>
                <w:rFonts w:ascii="Arial" w:hAnsi="Arial" w:cs="Arial"/>
                <w:color w:val="000000" w:themeColor="text1"/>
                <w:sz w:val="22"/>
              </w:rPr>
            </w:pPr>
          </w:p>
        </w:tc>
        <w:tc>
          <w:tcPr>
            <w:tcW w:w="1357" w:type="dxa"/>
          </w:tcPr>
          <w:p w14:paraId="012C4253" w14:textId="77777777" w:rsidR="00D459C7" w:rsidRPr="00955618" w:rsidRDefault="00D459C7" w:rsidP="00D459C7">
            <w:pPr>
              <w:rPr>
                <w:rFonts w:ascii="Arial" w:hAnsi="Arial" w:cs="Arial"/>
                <w:color w:val="000000" w:themeColor="text1"/>
                <w:sz w:val="22"/>
              </w:rPr>
            </w:pPr>
          </w:p>
        </w:tc>
      </w:tr>
      <w:tr w:rsidR="001739DE" w:rsidRPr="00955618" w14:paraId="1B3326B0" w14:textId="77777777" w:rsidTr="004D1CE4">
        <w:trPr>
          <w:trHeight w:val="1319"/>
        </w:trPr>
        <w:tc>
          <w:tcPr>
            <w:tcW w:w="3049" w:type="dxa"/>
          </w:tcPr>
          <w:p w14:paraId="31E23889" w14:textId="77777777" w:rsidR="00D459C7" w:rsidRPr="00EF5A40" w:rsidRDefault="00D459C7" w:rsidP="00D459C7">
            <w:pPr>
              <w:rPr>
                <w:rFonts w:ascii="Arial" w:hAnsi="Arial" w:cs="Arial"/>
                <w:b/>
                <w:bCs/>
                <w:color w:val="000000" w:themeColor="text1"/>
                <w:sz w:val="22"/>
              </w:rPr>
            </w:pPr>
            <w:r w:rsidRPr="00EF5A40">
              <w:rPr>
                <w:rFonts w:ascii="Arial" w:hAnsi="Arial" w:cs="Arial"/>
                <w:b/>
                <w:bCs/>
                <w:color w:val="000000" w:themeColor="text1"/>
                <w:sz w:val="22"/>
              </w:rPr>
              <w:t>Personen im Praktikum</w:t>
            </w:r>
          </w:p>
          <w:p w14:paraId="4E9FBBA2"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2.2.6</w:t>
            </w:r>
          </w:p>
        </w:tc>
        <w:tc>
          <w:tcPr>
            <w:tcW w:w="1633" w:type="dxa"/>
          </w:tcPr>
          <w:p w14:paraId="68DF5205" w14:textId="14207D39"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5A5A68E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Abrechnung z. B. der von Personen im Praktikum oder auch der von Auszubildenden erbrachten Leistungen ist nur möglich, wenn diese unter Aufsicht und fachlicher Anleitung erbracht werden. Die Aufsicht bzw. Anleitung ist in diesen Fällen nicht zusätzlich abrechnungsfähig.</w:t>
            </w:r>
          </w:p>
          <w:p w14:paraId="59772CA6" w14:textId="77777777" w:rsidR="00D459C7" w:rsidRPr="00955618" w:rsidRDefault="00D459C7" w:rsidP="00D459C7">
            <w:pPr>
              <w:rPr>
                <w:rFonts w:ascii="Arial" w:hAnsi="Arial" w:cs="Arial"/>
                <w:color w:val="000000" w:themeColor="text1"/>
                <w:sz w:val="22"/>
              </w:rPr>
            </w:pPr>
          </w:p>
        </w:tc>
        <w:tc>
          <w:tcPr>
            <w:tcW w:w="2867" w:type="dxa"/>
          </w:tcPr>
          <w:p w14:paraId="4BF8C820" w14:textId="77777777" w:rsidR="00D459C7" w:rsidRPr="00955618" w:rsidRDefault="00D459C7" w:rsidP="00D459C7">
            <w:pPr>
              <w:rPr>
                <w:rFonts w:ascii="Arial" w:hAnsi="Arial" w:cs="Arial"/>
                <w:color w:val="000000" w:themeColor="text1"/>
                <w:sz w:val="22"/>
              </w:rPr>
            </w:pPr>
          </w:p>
        </w:tc>
        <w:tc>
          <w:tcPr>
            <w:tcW w:w="1357" w:type="dxa"/>
          </w:tcPr>
          <w:p w14:paraId="22225C14" w14:textId="77777777" w:rsidR="00D459C7" w:rsidRPr="00955618" w:rsidRDefault="00D459C7" w:rsidP="00D459C7">
            <w:pPr>
              <w:rPr>
                <w:rFonts w:ascii="Arial" w:hAnsi="Arial" w:cs="Arial"/>
                <w:color w:val="000000" w:themeColor="text1"/>
                <w:sz w:val="22"/>
              </w:rPr>
            </w:pPr>
          </w:p>
        </w:tc>
      </w:tr>
      <w:tr w:rsidR="001739DE" w:rsidRPr="00955618" w14:paraId="2FC6B06E" w14:textId="77777777" w:rsidTr="004D1CE4">
        <w:trPr>
          <w:trHeight w:val="1701"/>
        </w:trPr>
        <w:tc>
          <w:tcPr>
            <w:tcW w:w="3049" w:type="dxa"/>
            <w:tcBorders>
              <w:bottom w:val="single" w:sz="4" w:space="0" w:color="auto"/>
            </w:tcBorders>
          </w:tcPr>
          <w:p w14:paraId="0F14AA72"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Praxisvertretung</w:t>
            </w:r>
          </w:p>
          <w:p w14:paraId="26DB9156"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1.3.5</w:t>
            </w:r>
          </w:p>
        </w:tc>
        <w:tc>
          <w:tcPr>
            <w:tcW w:w="1633" w:type="dxa"/>
            <w:tcBorders>
              <w:bottom w:val="single" w:sz="4" w:space="0" w:color="auto"/>
            </w:tcBorders>
          </w:tcPr>
          <w:p w14:paraId="0D82807D" w14:textId="298A9C8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6288037D" w14:textId="40C24A01" w:rsidR="00D459C7" w:rsidRPr="00955618" w:rsidRDefault="00D459C7" w:rsidP="00D459C7">
            <w:pPr>
              <w:pStyle w:val="Textkrper2"/>
              <w:rPr>
                <w:rFonts w:cs="Arial"/>
                <w:color w:val="000000" w:themeColor="text1"/>
              </w:rPr>
            </w:pPr>
            <w:r w:rsidRPr="00955618">
              <w:rPr>
                <w:rFonts w:cs="Arial"/>
                <w:color w:val="000000" w:themeColor="text1"/>
              </w:rPr>
              <w:t>Die Praxisvertretung für Niedergelassene fällt in den Sicherstellungsauftrag der KVB</w:t>
            </w:r>
            <w:r>
              <w:rPr>
                <w:rFonts w:cs="Arial"/>
                <w:color w:val="000000" w:themeColor="text1"/>
              </w:rPr>
              <w:t xml:space="preserve"> und ist keine Leistung nach § 118 Abs. 3 SGB V.</w:t>
            </w:r>
          </w:p>
          <w:p w14:paraId="2DED740A" w14:textId="75FE32DE"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098965CC"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7713057E" w14:textId="77777777" w:rsidR="00D459C7" w:rsidRPr="00955618" w:rsidRDefault="00D459C7" w:rsidP="00D459C7">
            <w:pPr>
              <w:rPr>
                <w:rFonts w:ascii="Arial" w:hAnsi="Arial" w:cs="Arial"/>
                <w:color w:val="000000" w:themeColor="text1"/>
                <w:sz w:val="22"/>
              </w:rPr>
            </w:pPr>
          </w:p>
        </w:tc>
      </w:tr>
      <w:tr w:rsidR="001739DE" w:rsidRPr="00955618" w14:paraId="63B55ACA" w14:textId="77777777" w:rsidTr="004D1CE4">
        <w:trPr>
          <w:trHeight w:val="1701"/>
        </w:trPr>
        <w:tc>
          <w:tcPr>
            <w:tcW w:w="3049" w:type="dxa"/>
            <w:tcBorders>
              <w:bottom w:val="single" w:sz="4" w:space="0" w:color="auto"/>
            </w:tcBorders>
          </w:tcPr>
          <w:p w14:paraId="187EC15F"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Soziotherapie</w:t>
            </w:r>
          </w:p>
          <w:p w14:paraId="51CD0BF0"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2.1.9</w:t>
            </w:r>
          </w:p>
        </w:tc>
        <w:tc>
          <w:tcPr>
            <w:tcW w:w="1633" w:type="dxa"/>
            <w:tcBorders>
              <w:bottom w:val="single" w:sz="4" w:space="0" w:color="auto"/>
            </w:tcBorders>
          </w:tcPr>
          <w:p w14:paraId="0C53BE0D" w14:textId="594ADB3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03AEC1B5" w14:textId="6C1E095F" w:rsidR="00D459C7" w:rsidRPr="00955618" w:rsidRDefault="00D459C7" w:rsidP="00D459C7">
            <w:pPr>
              <w:pStyle w:val="Textkrper2"/>
              <w:rPr>
                <w:rFonts w:cs="Arial"/>
                <w:color w:val="000000" w:themeColor="text1"/>
              </w:rPr>
            </w:pPr>
            <w:r w:rsidRPr="00955618">
              <w:rPr>
                <w:color w:val="000000" w:themeColor="text1"/>
              </w:rPr>
              <w:t xml:space="preserve">Eine Verordnung durch die </w:t>
            </w:r>
            <w:r>
              <w:rPr>
                <w:color w:val="000000" w:themeColor="text1"/>
              </w:rPr>
              <w:t xml:space="preserve">Institutsambulanz </w:t>
            </w:r>
            <w:r w:rsidRPr="00955618">
              <w:rPr>
                <w:color w:val="000000" w:themeColor="text1"/>
              </w:rPr>
              <w:t>ist möglich, wenn die Voraussetzungen gemäß Nr. 15 der Soziotherapie-Richtlinien (Verordnung und Leistungsumfang) erfüllt sind.</w:t>
            </w:r>
          </w:p>
        </w:tc>
        <w:tc>
          <w:tcPr>
            <w:tcW w:w="2867" w:type="dxa"/>
            <w:tcBorders>
              <w:bottom w:val="single" w:sz="4" w:space="0" w:color="auto"/>
            </w:tcBorders>
          </w:tcPr>
          <w:p w14:paraId="6249ED15"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49191E89" w14:textId="77777777" w:rsidR="00D459C7" w:rsidRPr="00955618" w:rsidRDefault="00D459C7" w:rsidP="00D459C7">
            <w:pPr>
              <w:rPr>
                <w:rFonts w:ascii="Arial" w:hAnsi="Arial" w:cs="Arial"/>
                <w:color w:val="000000" w:themeColor="text1"/>
                <w:sz w:val="22"/>
              </w:rPr>
            </w:pPr>
          </w:p>
        </w:tc>
      </w:tr>
      <w:tr w:rsidR="001739DE" w:rsidRPr="00955618" w14:paraId="4AECDB3E" w14:textId="77777777" w:rsidTr="004D1CE4">
        <w:trPr>
          <w:trHeight w:val="1701"/>
        </w:trPr>
        <w:tc>
          <w:tcPr>
            <w:tcW w:w="3049" w:type="dxa"/>
            <w:tcBorders>
              <w:bottom w:val="single" w:sz="4" w:space="0" w:color="auto"/>
            </w:tcBorders>
          </w:tcPr>
          <w:p w14:paraId="55866FD9"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Stationäre Rehamaßnahme</w:t>
            </w:r>
          </w:p>
          <w:p w14:paraId="217DBE56"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1.3.7</w:t>
            </w:r>
          </w:p>
        </w:tc>
        <w:tc>
          <w:tcPr>
            <w:tcW w:w="1633" w:type="dxa"/>
            <w:tcBorders>
              <w:bottom w:val="single" w:sz="4" w:space="0" w:color="auto"/>
            </w:tcBorders>
          </w:tcPr>
          <w:p w14:paraId="2580F072" w14:textId="7FCA8A4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5E950660" w14:textId="77777777" w:rsidR="00D459C7" w:rsidRPr="00955618" w:rsidRDefault="00D459C7" w:rsidP="00D459C7">
            <w:pPr>
              <w:pStyle w:val="Textkrper"/>
              <w:rPr>
                <w:color w:val="000000" w:themeColor="text1"/>
              </w:rPr>
            </w:pPr>
            <w:r w:rsidRPr="00955618">
              <w:rPr>
                <w:color w:val="000000" w:themeColor="text1"/>
              </w:rPr>
              <w:t>Es gelten hier die Bestimmungen des BMV-Ä zu „interkurrenten Erkrankungen“, § 2 Abs. 2 Nr. 3 BMV-Ä.</w:t>
            </w:r>
          </w:p>
          <w:p w14:paraId="16227D39"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„Zur ärztlichen Behandlung im Rahmen der vertragsärztlichen Versorgung gehören auch ärztliche Leistungen bei interkurrenten Erkrankungen während ambulanter Vorsorgeleistungen in anerkannten Kurorten sowie ambulant ausgeführte Leistungen, die während einer stationären Rehabilitation erforderlich werden </w:t>
            </w:r>
            <w:r w:rsidRPr="00955618">
              <w:rPr>
                <w:rFonts w:ascii="Arial" w:hAnsi="Arial" w:cs="Arial"/>
                <w:color w:val="000000" w:themeColor="text1"/>
                <w:sz w:val="22"/>
                <w:u w:val="single"/>
              </w:rPr>
              <w:t>und nicht mit dem Heilbehandlungsleiden</w:t>
            </w:r>
            <w:r w:rsidRPr="00955618">
              <w:rPr>
                <w:rFonts w:ascii="Arial" w:hAnsi="Arial" w:cs="Arial"/>
                <w:color w:val="000000" w:themeColor="text1"/>
                <w:sz w:val="22"/>
              </w:rPr>
              <w:t xml:space="preserve"> im Zusammenhang stehen“.</w:t>
            </w:r>
          </w:p>
          <w:p w14:paraId="0DB28233" w14:textId="77777777" w:rsidR="00D459C7" w:rsidRDefault="00D459C7" w:rsidP="00D459C7">
            <w:pPr>
              <w:rPr>
                <w:color w:val="000000" w:themeColor="text1"/>
              </w:rPr>
            </w:pPr>
            <w:r w:rsidRPr="00955618">
              <w:rPr>
                <w:rFonts w:ascii="Arial" w:hAnsi="Arial" w:cs="Arial"/>
                <w:color w:val="000000" w:themeColor="text1"/>
                <w:sz w:val="22"/>
              </w:rPr>
              <w:t>Soweit in Einzelfällen Unklarheiten bezüglich der Zuständigkeit bestehen, sollten diese zur Abklärung an die jeweilige Krankenkasse herangetragen werden</w:t>
            </w:r>
            <w:r w:rsidRPr="00955618">
              <w:rPr>
                <w:color w:val="000000" w:themeColor="text1"/>
              </w:rPr>
              <w:t>.</w:t>
            </w:r>
          </w:p>
          <w:p w14:paraId="442AC035" w14:textId="13C52894"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371C9C8D"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5FAEAB42" w14:textId="77777777" w:rsidR="00D459C7" w:rsidRPr="00955618" w:rsidRDefault="00D459C7" w:rsidP="00D459C7">
            <w:pPr>
              <w:rPr>
                <w:rFonts w:ascii="Arial" w:hAnsi="Arial" w:cs="Arial"/>
                <w:color w:val="000000" w:themeColor="text1"/>
                <w:sz w:val="22"/>
              </w:rPr>
            </w:pPr>
          </w:p>
        </w:tc>
      </w:tr>
      <w:tr w:rsidR="001739DE" w:rsidRPr="00955618" w14:paraId="2B745ADA" w14:textId="77777777" w:rsidTr="004D1CE4">
        <w:trPr>
          <w:trHeight w:val="811"/>
        </w:trPr>
        <w:tc>
          <w:tcPr>
            <w:tcW w:w="3049" w:type="dxa"/>
            <w:tcBorders>
              <w:bottom w:val="single" w:sz="4" w:space="0" w:color="auto"/>
            </w:tcBorders>
          </w:tcPr>
          <w:p w14:paraId="7BA3B24F"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Stationärer Krankenhausaufenthalt</w:t>
            </w:r>
          </w:p>
          <w:p w14:paraId="51FC8A44"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1.3.6</w:t>
            </w:r>
          </w:p>
        </w:tc>
        <w:tc>
          <w:tcPr>
            <w:tcW w:w="1633" w:type="dxa"/>
            <w:tcBorders>
              <w:bottom w:val="single" w:sz="4" w:space="0" w:color="auto"/>
            </w:tcBorders>
          </w:tcPr>
          <w:p w14:paraId="4B7524C4" w14:textId="34B901A7"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68104E3D" w14:textId="4FF4B7F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Leistungen</w:t>
            </w:r>
            <w:r>
              <w:rPr>
                <w:rFonts w:ascii="Arial" w:hAnsi="Arial" w:cs="Arial"/>
                <w:color w:val="000000" w:themeColor="text1"/>
                <w:sz w:val="22"/>
              </w:rPr>
              <w:t xml:space="preserve"> der Institutsambulanz </w:t>
            </w:r>
            <w:r w:rsidRPr="00955618">
              <w:rPr>
                <w:rFonts w:ascii="Arial" w:hAnsi="Arial" w:cs="Arial"/>
                <w:color w:val="000000" w:themeColor="text1"/>
                <w:sz w:val="22"/>
              </w:rPr>
              <w:t xml:space="preserve">während eines vollstationären Krankenhausaufenthaltes (Ausnahme Belegabteilung) sind gegenüber den Krankenkassen </w:t>
            </w:r>
            <w:r w:rsidRPr="00955618">
              <w:rPr>
                <w:rFonts w:ascii="Arial" w:hAnsi="Arial" w:cs="Arial"/>
                <w:color w:val="000000" w:themeColor="text1"/>
                <w:sz w:val="22"/>
                <w:u w:val="single"/>
              </w:rPr>
              <w:t>nicht</w:t>
            </w:r>
            <w:r w:rsidRPr="00955618">
              <w:rPr>
                <w:rFonts w:ascii="Arial" w:hAnsi="Arial" w:cs="Arial"/>
                <w:color w:val="000000" w:themeColor="text1"/>
                <w:sz w:val="22"/>
              </w:rPr>
              <w:t xml:space="preserve"> abrechnungsfähig. </w:t>
            </w:r>
            <w:r w:rsidR="00AE68E1">
              <w:rPr>
                <w:rFonts w:ascii="Arial" w:hAnsi="Arial" w:cs="Arial"/>
                <w:color w:val="000000" w:themeColor="text1"/>
                <w:sz w:val="22"/>
              </w:rPr>
              <w:t xml:space="preserve">Es bleibt </w:t>
            </w:r>
            <w:r w:rsidRPr="00955618">
              <w:rPr>
                <w:rFonts w:ascii="Arial" w:hAnsi="Arial" w:cs="Arial"/>
                <w:color w:val="000000" w:themeColor="text1"/>
                <w:sz w:val="22"/>
              </w:rPr>
              <w:t xml:space="preserve">der </w:t>
            </w:r>
            <w:r>
              <w:rPr>
                <w:rFonts w:ascii="Arial" w:hAnsi="Arial" w:cs="Arial"/>
                <w:color w:val="000000" w:themeColor="text1"/>
                <w:sz w:val="22"/>
              </w:rPr>
              <w:t xml:space="preserve">Institutsambulanz </w:t>
            </w:r>
            <w:r w:rsidRPr="00955618">
              <w:rPr>
                <w:rFonts w:ascii="Arial" w:hAnsi="Arial" w:cs="Arial"/>
                <w:color w:val="000000" w:themeColor="text1"/>
                <w:sz w:val="22"/>
              </w:rPr>
              <w:t>überlassen ggf. im Einzelfall eine Kostenübernahme zu erwirken.</w:t>
            </w:r>
          </w:p>
          <w:p w14:paraId="54966E99" w14:textId="77777777" w:rsidR="00D459C7" w:rsidRPr="00955618" w:rsidRDefault="00D459C7" w:rsidP="00D459C7">
            <w:pPr>
              <w:rPr>
                <w:rFonts w:ascii="Arial" w:hAnsi="Arial" w:cs="Arial"/>
                <w:color w:val="000000" w:themeColor="text1"/>
                <w:sz w:val="22"/>
              </w:rPr>
            </w:pPr>
          </w:p>
          <w:p w14:paraId="7EE82A70"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Wurde die Indikation zur stationären Behandlung bereits durch einen Facharzt gestellt, ist die nochmalige Indikationsprüfung keine Leistung der </w:t>
            </w:r>
            <w:r>
              <w:rPr>
                <w:rFonts w:ascii="Arial" w:hAnsi="Arial" w:cs="Arial"/>
                <w:color w:val="000000" w:themeColor="text1"/>
                <w:sz w:val="22"/>
              </w:rPr>
              <w:t>Institutsambulanz</w:t>
            </w:r>
            <w:r w:rsidRPr="00955618">
              <w:rPr>
                <w:rFonts w:ascii="Arial" w:hAnsi="Arial" w:cs="Arial"/>
                <w:color w:val="000000" w:themeColor="text1"/>
                <w:sz w:val="22"/>
              </w:rPr>
              <w:t>.</w:t>
            </w:r>
          </w:p>
          <w:p w14:paraId="2A1DC7C3" w14:textId="14398D23"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5385580F"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7C3C2C17" w14:textId="28ACDC0B" w:rsidR="00D459C7" w:rsidRPr="00955618" w:rsidRDefault="00D459C7" w:rsidP="00D459C7">
            <w:pPr>
              <w:rPr>
                <w:rFonts w:ascii="Arial" w:hAnsi="Arial" w:cs="Arial"/>
                <w:color w:val="000000" w:themeColor="text1"/>
                <w:sz w:val="22"/>
              </w:rPr>
            </w:pPr>
          </w:p>
        </w:tc>
      </w:tr>
      <w:tr w:rsidR="001739DE" w:rsidRPr="00955618" w14:paraId="6A2E4BA1" w14:textId="77777777" w:rsidTr="004D1CE4">
        <w:trPr>
          <w:trHeight w:val="794"/>
        </w:trPr>
        <w:tc>
          <w:tcPr>
            <w:tcW w:w="3049" w:type="dxa"/>
            <w:tcBorders>
              <w:top w:val="single" w:sz="4" w:space="0" w:color="auto"/>
            </w:tcBorders>
          </w:tcPr>
          <w:p w14:paraId="34FA25ED"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Supervision</w:t>
            </w:r>
          </w:p>
          <w:p w14:paraId="7B8DCA5D"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2.1.10</w:t>
            </w:r>
          </w:p>
        </w:tc>
        <w:tc>
          <w:tcPr>
            <w:tcW w:w="1633" w:type="dxa"/>
            <w:tcBorders>
              <w:top w:val="single" w:sz="4" w:space="0" w:color="auto"/>
            </w:tcBorders>
          </w:tcPr>
          <w:p w14:paraId="583BFC0E" w14:textId="51B40F4D"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top w:val="single" w:sz="4" w:space="0" w:color="auto"/>
            </w:tcBorders>
          </w:tcPr>
          <w:p w14:paraId="41D08071" w14:textId="06F7770A"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Der Begriff Supervision ist im Leistungsspektrum der </w:t>
            </w:r>
            <w:r>
              <w:rPr>
                <w:rFonts w:ascii="Arial" w:hAnsi="Arial" w:cs="Arial"/>
                <w:color w:val="000000" w:themeColor="text1"/>
                <w:sz w:val="22"/>
              </w:rPr>
              <w:t xml:space="preserve">Institutsambulanz </w:t>
            </w:r>
            <w:r w:rsidRPr="00955618">
              <w:rPr>
                <w:rFonts w:ascii="Arial" w:hAnsi="Arial" w:cs="Arial"/>
                <w:color w:val="000000" w:themeColor="text1"/>
                <w:sz w:val="22"/>
              </w:rPr>
              <w:t>nicht definiert. Diesbezüglich wird auf die Regelungen zur „Verlaufsbesprechung“ und „Diagnostik und Therapie schwieriger Patienten“ verwiesen.</w:t>
            </w:r>
          </w:p>
          <w:p w14:paraId="104189CB" w14:textId="2BB109C4" w:rsidR="00D459C7" w:rsidRPr="00955618" w:rsidRDefault="00D459C7" w:rsidP="00D459C7">
            <w:pPr>
              <w:rPr>
                <w:rFonts w:ascii="Arial" w:hAnsi="Arial" w:cs="Arial"/>
                <w:color w:val="000000" w:themeColor="text1"/>
                <w:sz w:val="22"/>
              </w:rPr>
            </w:pPr>
          </w:p>
        </w:tc>
        <w:tc>
          <w:tcPr>
            <w:tcW w:w="2867" w:type="dxa"/>
            <w:tcBorders>
              <w:top w:val="single" w:sz="4" w:space="0" w:color="auto"/>
            </w:tcBorders>
          </w:tcPr>
          <w:p w14:paraId="3D4FE905" w14:textId="77777777" w:rsidR="00D459C7" w:rsidRPr="00955618" w:rsidRDefault="00D459C7" w:rsidP="00D459C7">
            <w:pPr>
              <w:rPr>
                <w:rFonts w:ascii="Arial" w:hAnsi="Arial" w:cs="Arial"/>
                <w:color w:val="000000" w:themeColor="text1"/>
                <w:sz w:val="22"/>
              </w:rPr>
            </w:pPr>
          </w:p>
        </w:tc>
        <w:tc>
          <w:tcPr>
            <w:tcW w:w="1357" w:type="dxa"/>
            <w:tcBorders>
              <w:top w:val="single" w:sz="4" w:space="0" w:color="auto"/>
            </w:tcBorders>
          </w:tcPr>
          <w:p w14:paraId="3DAB281A" w14:textId="77777777" w:rsidR="00D459C7" w:rsidRPr="00955618" w:rsidRDefault="00D459C7" w:rsidP="00D459C7">
            <w:pPr>
              <w:rPr>
                <w:rFonts w:ascii="Arial" w:hAnsi="Arial" w:cs="Arial"/>
                <w:color w:val="000000" w:themeColor="text1"/>
                <w:sz w:val="22"/>
              </w:rPr>
            </w:pPr>
          </w:p>
        </w:tc>
      </w:tr>
      <w:tr w:rsidR="001739DE" w:rsidRPr="00955618" w14:paraId="7D0F6827" w14:textId="77777777" w:rsidTr="004D1CE4">
        <w:trPr>
          <w:trHeight w:val="794"/>
        </w:trPr>
        <w:tc>
          <w:tcPr>
            <w:tcW w:w="3049" w:type="dxa"/>
            <w:tcBorders>
              <w:top w:val="single" w:sz="4" w:space="0" w:color="auto"/>
            </w:tcBorders>
          </w:tcPr>
          <w:p w14:paraId="363E168C" w14:textId="77777777" w:rsidR="00D459C7" w:rsidRPr="00D459C7" w:rsidRDefault="00D459C7" w:rsidP="00D459C7">
            <w:pPr>
              <w:pStyle w:val="berschrift1"/>
              <w:spacing w:before="0"/>
              <w:rPr>
                <w:rFonts w:asciiTheme="minorHAnsi" w:eastAsia="Times New Roman" w:hAnsiTheme="minorHAnsi" w:cstheme="minorHAnsi"/>
                <w:sz w:val="22"/>
                <w:szCs w:val="22"/>
              </w:rPr>
            </w:pPr>
            <w:r w:rsidRPr="00D459C7">
              <w:rPr>
                <w:rFonts w:asciiTheme="minorHAnsi" w:eastAsia="Times New Roman" w:hAnsiTheme="minorHAnsi" w:cstheme="minorHAnsi"/>
                <w:sz w:val="22"/>
                <w:szCs w:val="22"/>
              </w:rPr>
              <w:lastRenderedPageBreak/>
              <w:t>Therapieplanung</w:t>
            </w:r>
          </w:p>
          <w:p w14:paraId="0CF0DBD4" w14:textId="06F3CA89" w:rsidR="00D459C7" w:rsidRPr="00D459C7" w:rsidRDefault="00D459C7" w:rsidP="00D459C7">
            <w:pPr>
              <w:pStyle w:val="berschrift1"/>
              <w:spacing w:before="0"/>
              <w:rPr>
                <w:rFonts w:asciiTheme="minorHAnsi" w:eastAsia="Times New Roman" w:hAnsiTheme="minorHAnsi" w:cstheme="minorHAnsi"/>
                <w:b w:val="0"/>
                <w:sz w:val="22"/>
                <w:szCs w:val="22"/>
              </w:rPr>
            </w:pPr>
            <w:bookmarkStart w:id="2" w:name="Therapieplanung"/>
            <w:r w:rsidRPr="00D459C7">
              <w:rPr>
                <w:rFonts w:asciiTheme="minorHAnsi" w:hAnsiTheme="minorHAnsi" w:cstheme="minorHAnsi"/>
                <w:b w:val="0"/>
                <w:sz w:val="22"/>
                <w:szCs w:val="22"/>
              </w:rPr>
              <w:t>2.1.18</w:t>
            </w:r>
            <w:bookmarkEnd w:id="2"/>
          </w:p>
        </w:tc>
        <w:tc>
          <w:tcPr>
            <w:tcW w:w="1633" w:type="dxa"/>
            <w:tcBorders>
              <w:top w:val="single" w:sz="4" w:space="0" w:color="auto"/>
            </w:tcBorders>
          </w:tcPr>
          <w:p w14:paraId="0F2E0193" w14:textId="5B1AF97B" w:rsidR="00D459C7" w:rsidRPr="00D459C7" w:rsidRDefault="004D1CE4" w:rsidP="00D459C7">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01.09.2021</w:t>
            </w:r>
          </w:p>
        </w:tc>
        <w:tc>
          <w:tcPr>
            <w:tcW w:w="5831" w:type="dxa"/>
            <w:tcBorders>
              <w:top w:val="single" w:sz="4" w:space="0" w:color="auto"/>
            </w:tcBorders>
          </w:tcPr>
          <w:p w14:paraId="1B970AFF" w14:textId="7AE007BD"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Die </w:t>
            </w:r>
            <w:r w:rsidR="00AB5363">
              <w:rPr>
                <w:rFonts w:asciiTheme="minorHAnsi" w:hAnsiTheme="minorHAnsi" w:cstheme="minorHAnsi"/>
                <w:sz w:val="22"/>
                <w:szCs w:val="22"/>
              </w:rPr>
              <w:t>Institutsambulanzen</w:t>
            </w:r>
            <w:r w:rsidR="00AB5363" w:rsidRPr="00D459C7">
              <w:rPr>
                <w:rFonts w:asciiTheme="minorHAnsi" w:hAnsiTheme="minorHAnsi" w:cstheme="minorHAnsi"/>
                <w:sz w:val="22"/>
                <w:szCs w:val="22"/>
              </w:rPr>
              <w:t xml:space="preserve"> </w:t>
            </w:r>
            <w:r w:rsidRPr="00D459C7">
              <w:rPr>
                <w:rFonts w:asciiTheme="minorHAnsi" w:hAnsiTheme="minorHAnsi" w:cstheme="minorHAnsi"/>
                <w:sz w:val="22"/>
                <w:szCs w:val="22"/>
              </w:rPr>
              <w:t>sind gehalten, im Rahmen der Therapieplanung auch folgende Punkte zu berücksichtigen und zu dokumentieren:</w:t>
            </w:r>
          </w:p>
          <w:p w14:paraId="0C8DA49E" w14:textId="77777777" w:rsidR="00D459C7" w:rsidRPr="00D459C7" w:rsidRDefault="00D459C7" w:rsidP="00D459C7">
            <w:pPr>
              <w:rPr>
                <w:rFonts w:asciiTheme="minorHAnsi" w:hAnsiTheme="minorHAnsi" w:cstheme="minorHAnsi"/>
                <w:sz w:val="22"/>
                <w:szCs w:val="22"/>
              </w:rPr>
            </w:pPr>
          </w:p>
          <w:p w14:paraId="30F0FBEB" w14:textId="77777777" w:rsidR="00D459C7" w:rsidRPr="00D459C7" w:rsidRDefault="00D459C7" w:rsidP="00D459C7">
            <w:pPr>
              <w:rPr>
                <w:rFonts w:asciiTheme="minorHAnsi" w:hAnsiTheme="minorHAnsi" w:cstheme="minorHAnsi"/>
                <w:b/>
                <w:sz w:val="22"/>
                <w:szCs w:val="22"/>
              </w:rPr>
            </w:pPr>
            <w:r w:rsidRPr="00D459C7">
              <w:rPr>
                <w:rFonts w:asciiTheme="minorHAnsi" w:hAnsiTheme="minorHAnsi" w:cstheme="minorHAnsi"/>
                <w:b/>
                <w:sz w:val="22"/>
                <w:szCs w:val="22"/>
              </w:rPr>
              <w:t xml:space="preserve">Abgrenzung zu und Verzahnung mit anderen Hilfsangeboten </w:t>
            </w:r>
          </w:p>
          <w:p w14:paraId="27FD3AE4" w14:textId="77777777" w:rsidR="00D459C7" w:rsidRPr="00D459C7" w:rsidRDefault="00D459C7" w:rsidP="00D459C7">
            <w:pPr>
              <w:rPr>
                <w:rFonts w:asciiTheme="minorHAnsi" w:hAnsiTheme="minorHAnsi" w:cstheme="minorHAnsi"/>
                <w:sz w:val="22"/>
                <w:szCs w:val="22"/>
              </w:rPr>
            </w:pPr>
          </w:p>
          <w:p w14:paraId="38C91279" w14:textId="142AE522"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Benennung erforderlicher oder möglicher komplementärer Dienste und Netzwerke (z. B. Medizinisch-soziale Basisdienste, Selbsthilfegruppen und Beratungsstellen, Tagesstätten, Jugendhilfe, Psychiatrisch-psychotherapeutische Fachdienste und Netzwerke):</w:t>
            </w:r>
          </w:p>
          <w:p w14:paraId="14D6770A" w14:textId="77777777" w:rsidR="00D459C7" w:rsidRPr="00D459C7" w:rsidRDefault="00D459C7" w:rsidP="00D459C7">
            <w:pPr>
              <w:pBdr>
                <w:bottom w:val="single" w:sz="12" w:space="1" w:color="auto"/>
              </w:pBdr>
              <w:rPr>
                <w:rFonts w:asciiTheme="minorHAnsi" w:hAnsiTheme="minorHAnsi" w:cstheme="minorHAnsi"/>
                <w:sz w:val="22"/>
                <w:szCs w:val="22"/>
              </w:rPr>
            </w:pPr>
          </w:p>
          <w:p w14:paraId="02A16E43" w14:textId="77777777" w:rsidR="00D459C7" w:rsidRPr="00D459C7" w:rsidRDefault="00D459C7" w:rsidP="00D459C7">
            <w:pPr>
              <w:rPr>
                <w:rFonts w:asciiTheme="minorHAnsi" w:hAnsiTheme="minorHAnsi" w:cstheme="minorHAnsi"/>
                <w:sz w:val="22"/>
                <w:szCs w:val="22"/>
              </w:rPr>
            </w:pPr>
          </w:p>
          <w:p w14:paraId="060FB997" w14:textId="77777777"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Falls ja: </w:t>
            </w:r>
          </w:p>
          <w:p w14:paraId="244F80A5" w14:textId="77777777" w:rsidR="00D459C7" w:rsidRPr="00D459C7" w:rsidRDefault="00D459C7" w:rsidP="00D459C7">
            <w:pPr>
              <w:rPr>
                <w:rFonts w:asciiTheme="minorHAnsi" w:hAnsiTheme="minorHAnsi" w:cstheme="minorHAnsi"/>
                <w:sz w:val="22"/>
                <w:szCs w:val="22"/>
              </w:rPr>
            </w:pPr>
          </w:p>
          <w:p w14:paraId="1906F98D" w14:textId="77777777"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Benennung der Aufgabe des externen Dienstes/Netzwerkes:</w:t>
            </w:r>
          </w:p>
          <w:p w14:paraId="3BA0429E" w14:textId="77777777" w:rsidR="00D459C7" w:rsidRPr="00D459C7" w:rsidRDefault="00D459C7" w:rsidP="00D459C7">
            <w:pPr>
              <w:pBdr>
                <w:bottom w:val="single" w:sz="12" w:space="1" w:color="auto"/>
              </w:pBdr>
              <w:rPr>
                <w:rFonts w:asciiTheme="minorHAnsi" w:hAnsiTheme="minorHAnsi" w:cstheme="minorHAnsi"/>
                <w:sz w:val="22"/>
                <w:szCs w:val="22"/>
              </w:rPr>
            </w:pPr>
          </w:p>
          <w:p w14:paraId="0E2885ED" w14:textId="77777777" w:rsidR="00D459C7" w:rsidRPr="00D459C7" w:rsidRDefault="00D459C7" w:rsidP="00D459C7">
            <w:pPr>
              <w:rPr>
                <w:rFonts w:asciiTheme="minorHAnsi" w:hAnsiTheme="minorHAnsi" w:cstheme="minorHAnsi"/>
                <w:sz w:val="22"/>
                <w:szCs w:val="22"/>
              </w:rPr>
            </w:pPr>
          </w:p>
          <w:p w14:paraId="43A67AB6" w14:textId="77777777" w:rsidR="00D459C7" w:rsidRPr="00D459C7" w:rsidRDefault="00D459C7" w:rsidP="00D459C7">
            <w:pPr>
              <w:rPr>
                <w:rFonts w:asciiTheme="minorHAnsi" w:hAnsiTheme="minorHAnsi" w:cstheme="minorHAnsi"/>
                <w:sz w:val="22"/>
                <w:szCs w:val="22"/>
              </w:rPr>
            </w:pPr>
          </w:p>
          <w:p w14:paraId="64BE78FF" w14:textId="5B0EEDAA"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Benennung der Aufgaben der </w:t>
            </w:r>
            <w:r w:rsidR="00AB5363">
              <w:rPr>
                <w:rFonts w:asciiTheme="minorHAnsi" w:hAnsiTheme="minorHAnsi" w:cstheme="minorHAnsi"/>
                <w:sz w:val="22"/>
                <w:szCs w:val="22"/>
              </w:rPr>
              <w:t>Institutsambulanz</w:t>
            </w:r>
            <w:r w:rsidR="00AB5363" w:rsidRPr="00D459C7">
              <w:rPr>
                <w:rFonts w:asciiTheme="minorHAnsi" w:hAnsiTheme="minorHAnsi" w:cstheme="minorHAnsi"/>
                <w:sz w:val="22"/>
                <w:szCs w:val="22"/>
              </w:rPr>
              <w:t xml:space="preserve"> </w:t>
            </w:r>
            <w:r w:rsidRPr="00D459C7">
              <w:rPr>
                <w:rFonts w:asciiTheme="minorHAnsi" w:hAnsiTheme="minorHAnsi" w:cstheme="minorHAnsi"/>
                <w:sz w:val="22"/>
                <w:szCs w:val="22"/>
              </w:rPr>
              <w:t>im Rahmen der Kooperation:</w:t>
            </w:r>
          </w:p>
          <w:p w14:paraId="7A34C984" w14:textId="77777777" w:rsidR="00D459C7" w:rsidRPr="00D459C7" w:rsidRDefault="00D459C7" w:rsidP="00D459C7">
            <w:pPr>
              <w:pBdr>
                <w:bottom w:val="single" w:sz="12" w:space="1" w:color="auto"/>
              </w:pBdr>
              <w:rPr>
                <w:rFonts w:asciiTheme="minorHAnsi" w:hAnsiTheme="minorHAnsi" w:cstheme="minorHAnsi"/>
                <w:sz w:val="22"/>
                <w:szCs w:val="22"/>
              </w:rPr>
            </w:pPr>
          </w:p>
          <w:p w14:paraId="5623C8F5" w14:textId="77777777" w:rsidR="00D459C7" w:rsidRPr="00D459C7" w:rsidRDefault="00D459C7" w:rsidP="00D459C7">
            <w:pPr>
              <w:rPr>
                <w:rFonts w:asciiTheme="minorHAnsi" w:hAnsiTheme="minorHAnsi" w:cstheme="minorHAnsi"/>
                <w:sz w:val="22"/>
                <w:szCs w:val="22"/>
              </w:rPr>
            </w:pPr>
          </w:p>
          <w:p w14:paraId="35E15085" w14:textId="28DCDD69"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Begründung: Während der laufenden Behandlung in der </w:t>
            </w:r>
            <w:r w:rsidR="00AB5363">
              <w:rPr>
                <w:rFonts w:asciiTheme="minorHAnsi" w:hAnsiTheme="minorHAnsi" w:cstheme="minorHAnsi"/>
                <w:sz w:val="22"/>
                <w:szCs w:val="22"/>
              </w:rPr>
              <w:t>Institutsambulanz</w:t>
            </w:r>
            <w:r w:rsidR="00AB5363" w:rsidRPr="00D459C7">
              <w:rPr>
                <w:rFonts w:asciiTheme="minorHAnsi" w:hAnsiTheme="minorHAnsi" w:cstheme="minorHAnsi"/>
                <w:sz w:val="22"/>
                <w:szCs w:val="22"/>
              </w:rPr>
              <w:t xml:space="preserve"> </w:t>
            </w:r>
            <w:r w:rsidRPr="00D459C7">
              <w:rPr>
                <w:rFonts w:asciiTheme="minorHAnsi" w:hAnsiTheme="minorHAnsi" w:cstheme="minorHAnsi"/>
                <w:sz w:val="22"/>
                <w:szCs w:val="22"/>
              </w:rPr>
              <w:t>und im Anschluss daran, kann es notwendig sein, andere Dienste und Netzwerke in die Therapieplanung zu integrieren. Dabei ist es auch wichtig, Aufgaben zu beschreiben und abzugrenzen, da hierfür auch andere Kostenträger als die gesetzliche Krankenversicherung zuständig sein können.</w:t>
            </w:r>
          </w:p>
          <w:p w14:paraId="72FF28A9" w14:textId="77777777" w:rsidR="00D459C7" w:rsidRPr="00D459C7" w:rsidRDefault="00D459C7" w:rsidP="00D459C7">
            <w:pPr>
              <w:rPr>
                <w:rFonts w:asciiTheme="minorHAnsi" w:hAnsiTheme="minorHAnsi" w:cstheme="minorHAnsi"/>
                <w:color w:val="000000" w:themeColor="text1"/>
                <w:sz w:val="22"/>
                <w:szCs w:val="22"/>
              </w:rPr>
            </w:pPr>
          </w:p>
        </w:tc>
        <w:tc>
          <w:tcPr>
            <w:tcW w:w="2867" w:type="dxa"/>
            <w:tcBorders>
              <w:top w:val="single" w:sz="4" w:space="0" w:color="auto"/>
            </w:tcBorders>
          </w:tcPr>
          <w:p w14:paraId="41C7C771" w14:textId="77777777" w:rsidR="00D459C7" w:rsidRPr="00955618" w:rsidRDefault="00D459C7" w:rsidP="00D459C7">
            <w:pPr>
              <w:rPr>
                <w:rFonts w:ascii="Arial" w:hAnsi="Arial" w:cs="Arial"/>
                <w:color w:val="000000" w:themeColor="text1"/>
                <w:sz w:val="22"/>
              </w:rPr>
            </w:pPr>
          </w:p>
        </w:tc>
        <w:tc>
          <w:tcPr>
            <w:tcW w:w="1357" w:type="dxa"/>
            <w:tcBorders>
              <w:top w:val="single" w:sz="4" w:space="0" w:color="auto"/>
            </w:tcBorders>
          </w:tcPr>
          <w:p w14:paraId="283B1132" w14:textId="77777777" w:rsidR="00D459C7" w:rsidRPr="00955618" w:rsidRDefault="00D459C7" w:rsidP="00D459C7">
            <w:pPr>
              <w:rPr>
                <w:rFonts w:ascii="Arial" w:hAnsi="Arial" w:cs="Arial"/>
                <w:color w:val="000000" w:themeColor="text1"/>
                <w:sz w:val="22"/>
              </w:rPr>
            </w:pPr>
          </w:p>
        </w:tc>
      </w:tr>
      <w:tr w:rsidR="001739DE" w:rsidRPr="00955618" w14:paraId="3E58E9F8" w14:textId="77777777" w:rsidTr="004D1CE4">
        <w:trPr>
          <w:trHeight w:val="1496"/>
        </w:trPr>
        <w:tc>
          <w:tcPr>
            <w:tcW w:w="3049" w:type="dxa"/>
          </w:tcPr>
          <w:p w14:paraId="7ACAA8E1"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Verlaufsbesprechung</w:t>
            </w:r>
          </w:p>
          <w:p w14:paraId="4BBDB766"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2.3.5</w:t>
            </w:r>
          </w:p>
        </w:tc>
        <w:tc>
          <w:tcPr>
            <w:tcW w:w="1633" w:type="dxa"/>
          </w:tcPr>
          <w:p w14:paraId="32FBE66F" w14:textId="65A4CA25"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4C3F61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u w:val="single"/>
              </w:rPr>
              <w:t>Verlaufsbesprechungen</w:t>
            </w:r>
            <w:r w:rsidRPr="00955618">
              <w:rPr>
                <w:rFonts w:ascii="Arial" w:hAnsi="Arial" w:cs="Arial"/>
                <w:color w:val="000000" w:themeColor="text1"/>
                <w:sz w:val="22"/>
              </w:rPr>
              <w:t xml:space="preserve"> sind alle übrigen Besprechungen (neben einer Fallbesprechung) zwischen Therapeuten untereinander über einen gemeinsamen Patienten. Diese können auch der gleichen Berufsgruppe angehören.</w:t>
            </w:r>
          </w:p>
        </w:tc>
        <w:tc>
          <w:tcPr>
            <w:tcW w:w="2867" w:type="dxa"/>
          </w:tcPr>
          <w:p w14:paraId="6CC46196" w14:textId="2CB7B2C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auch Pkt. </w:t>
            </w:r>
            <w:r w:rsidR="00693F22">
              <w:rPr>
                <w:rFonts w:ascii="Arial" w:hAnsi="Arial" w:cs="Arial"/>
                <w:color w:val="000000" w:themeColor="text1"/>
                <w:sz w:val="22"/>
              </w:rPr>
              <w:t xml:space="preserve">2.3.2 </w:t>
            </w:r>
            <w:r w:rsidRPr="00955618">
              <w:rPr>
                <w:rFonts w:ascii="Arial" w:hAnsi="Arial" w:cs="Arial"/>
                <w:color w:val="000000" w:themeColor="text1"/>
                <w:sz w:val="22"/>
              </w:rPr>
              <w:t>„Fallbesprechung“</w:t>
            </w:r>
          </w:p>
          <w:p w14:paraId="44E0AF2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Pr>
          <w:p w14:paraId="7AAC4827" w14:textId="77777777" w:rsidR="00D459C7" w:rsidRPr="00955618" w:rsidRDefault="00D459C7" w:rsidP="00D459C7">
            <w:pPr>
              <w:rPr>
                <w:rFonts w:ascii="Arial" w:hAnsi="Arial" w:cs="Arial"/>
                <w:color w:val="000000" w:themeColor="text1"/>
                <w:sz w:val="22"/>
              </w:rPr>
            </w:pPr>
          </w:p>
        </w:tc>
      </w:tr>
      <w:tr w:rsidR="001739DE" w:rsidRPr="00955618" w14:paraId="013FE8D8" w14:textId="77777777" w:rsidTr="004D1CE4">
        <w:trPr>
          <w:trHeight w:val="1513"/>
        </w:trPr>
        <w:tc>
          <w:tcPr>
            <w:tcW w:w="3049" w:type="dxa"/>
          </w:tcPr>
          <w:p w14:paraId="741494D9"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Verordnungen am Entlassungstag</w:t>
            </w:r>
          </w:p>
          <w:p w14:paraId="549F4D28"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1.3.9</w:t>
            </w:r>
          </w:p>
        </w:tc>
        <w:tc>
          <w:tcPr>
            <w:tcW w:w="1633" w:type="dxa"/>
          </w:tcPr>
          <w:p w14:paraId="3BAE09AB" w14:textId="5E9E4966"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613F6E6E"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Verordnungen am Entlassungstag der (teil-)stationären Behandlung sind grundsätzlich möglich. Die Dokumentation der Verordnung erfolgt entweder über das EDV-Ambulanzprogramm („automatisch“) oder durch einen entsprechenden Eintrag in die Ambulanzakte. Eine Abrechnung dieser Leistung ist nicht möglich. Der Aufwand ist mit den Kosten der (teil-)stationären Behandlung abgegolten.</w:t>
            </w:r>
          </w:p>
          <w:p w14:paraId="1EB5BFDD" w14:textId="52535061" w:rsidR="00D459C7" w:rsidRPr="00955618" w:rsidRDefault="00D459C7" w:rsidP="00D459C7">
            <w:pPr>
              <w:rPr>
                <w:rFonts w:ascii="Arial" w:hAnsi="Arial" w:cs="Arial"/>
                <w:color w:val="000000" w:themeColor="text1"/>
                <w:sz w:val="22"/>
              </w:rPr>
            </w:pPr>
          </w:p>
        </w:tc>
        <w:tc>
          <w:tcPr>
            <w:tcW w:w="2867" w:type="dxa"/>
          </w:tcPr>
          <w:p w14:paraId="3D8E337D" w14:textId="77777777" w:rsidR="00D459C7" w:rsidRPr="00955618" w:rsidRDefault="00D459C7" w:rsidP="00D459C7">
            <w:pPr>
              <w:rPr>
                <w:rFonts w:ascii="Arial" w:hAnsi="Arial" w:cs="Arial"/>
                <w:color w:val="000000" w:themeColor="text1"/>
                <w:sz w:val="22"/>
              </w:rPr>
            </w:pPr>
          </w:p>
        </w:tc>
        <w:tc>
          <w:tcPr>
            <w:tcW w:w="1357" w:type="dxa"/>
          </w:tcPr>
          <w:p w14:paraId="135A10B7" w14:textId="77777777" w:rsidR="00D459C7" w:rsidRPr="00955618" w:rsidRDefault="00D459C7" w:rsidP="00D459C7">
            <w:pPr>
              <w:rPr>
                <w:rFonts w:ascii="Arial" w:hAnsi="Arial" w:cs="Arial"/>
                <w:color w:val="000000" w:themeColor="text1"/>
                <w:sz w:val="22"/>
              </w:rPr>
            </w:pPr>
          </w:p>
        </w:tc>
      </w:tr>
      <w:tr w:rsidR="001739DE" w:rsidRPr="004260EB" w14:paraId="3938E661" w14:textId="77777777" w:rsidTr="004D1CE4">
        <w:trPr>
          <w:trHeight w:val="567"/>
        </w:trPr>
        <w:tc>
          <w:tcPr>
            <w:tcW w:w="3049" w:type="dxa"/>
          </w:tcPr>
          <w:p w14:paraId="0BD447F7" w14:textId="77777777" w:rsidR="00D459C7" w:rsidRPr="004260EB" w:rsidRDefault="00D459C7" w:rsidP="00D459C7">
            <w:pPr>
              <w:autoSpaceDE w:val="0"/>
              <w:autoSpaceDN w:val="0"/>
              <w:adjustRightInd w:val="0"/>
              <w:rPr>
                <w:rFonts w:ascii="Arial,Bold" w:eastAsiaTheme="minorHAnsi" w:hAnsi="Arial,Bold" w:cs="Arial,Bold"/>
                <w:b/>
                <w:bCs/>
                <w:sz w:val="22"/>
                <w:szCs w:val="22"/>
                <w:lang w:eastAsia="en-US"/>
              </w:rPr>
            </w:pPr>
            <w:r w:rsidRPr="004260EB">
              <w:rPr>
                <w:rFonts w:ascii="Arial,Bold" w:eastAsiaTheme="minorHAnsi" w:hAnsi="Arial,Bold" w:cs="Arial,Bold"/>
                <w:b/>
                <w:bCs/>
                <w:sz w:val="22"/>
                <w:szCs w:val="22"/>
                <w:lang w:eastAsia="en-US"/>
              </w:rPr>
              <w:t>Verordnungsvordruck</w:t>
            </w:r>
          </w:p>
          <w:p w14:paraId="69D989A0" w14:textId="77777777" w:rsidR="00D459C7" w:rsidRPr="004260EB" w:rsidRDefault="00D459C7" w:rsidP="00D459C7">
            <w:pPr>
              <w:autoSpaceDE w:val="0"/>
              <w:autoSpaceDN w:val="0"/>
              <w:adjustRightInd w:val="0"/>
              <w:rPr>
                <w:rFonts w:ascii="Arial,Bold" w:eastAsiaTheme="minorHAnsi" w:hAnsi="Arial,Bold" w:cs="Arial,Bold"/>
                <w:b/>
                <w:bCs/>
                <w:sz w:val="22"/>
                <w:szCs w:val="22"/>
                <w:lang w:eastAsia="en-US"/>
              </w:rPr>
            </w:pPr>
            <w:r w:rsidRPr="004260EB">
              <w:rPr>
                <w:rFonts w:ascii="Arial,Bold" w:eastAsiaTheme="minorHAnsi" w:hAnsi="Arial,Bold" w:cs="Arial,Bold"/>
                <w:b/>
                <w:bCs/>
                <w:sz w:val="22"/>
                <w:szCs w:val="22"/>
                <w:lang w:eastAsia="en-US"/>
              </w:rPr>
              <w:t>Verwendung BSNR</w:t>
            </w:r>
          </w:p>
          <w:p w14:paraId="59819B9F" w14:textId="77777777" w:rsidR="00D459C7" w:rsidRPr="004260EB" w:rsidRDefault="00D459C7" w:rsidP="00D459C7">
            <w:pPr>
              <w:rPr>
                <w:rFonts w:ascii="Arial" w:hAnsi="Arial" w:cs="Arial"/>
                <w:b/>
                <w:bCs/>
                <w:sz w:val="22"/>
              </w:rPr>
            </w:pPr>
            <w:r w:rsidRPr="004260EB">
              <w:rPr>
                <w:rFonts w:ascii="Arial" w:eastAsiaTheme="minorHAnsi" w:hAnsi="Arial" w:cs="Arial"/>
                <w:sz w:val="22"/>
                <w:szCs w:val="22"/>
                <w:lang w:eastAsia="en-US"/>
              </w:rPr>
              <w:t>2.1.16</w:t>
            </w:r>
          </w:p>
        </w:tc>
        <w:tc>
          <w:tcPr>
            <w:tcW w:w="1633" w:type="dxa"/>
          </w:tcPr>
          <w:p w14:paraId="089220DD" w14:textId="3E6C1031" w:rsidR="00D459C7" w:rsidRPr="004260EB" w:rsidRDefault="004D1CE4" w:rsidP="00D459C7">
            <w:pPr>
              <w:jc w:val="center"/>
              <w:rPr>
                <w:rFonts w:ascii="Arial" w:hAnsi="Arial" w:cs="Arial"/>
                <w:sz w:val="22"/>
              </w:rPr>
            </w:pPr>
            <w:r>
              <w:rPr>
                <w:rFonts w:ascii="Arial" w:hAnsi="Arial" w:cs="Arial"/>
                <w:color w:val="000000" w:themeColor="text1"/>
                <w:sz w:val="22"/>
              </w:rPr>
              <w:t>01.09.2021</w:t>
            </w:r>
          </w:p>
        </w:tc>
        <w:tc>
          <w:tcPr>
            <w:tcW w:w="5831" w:type="dxa"/>
          </w:tcPr>
          <w:p w14:paraId="69038491" w14:textId="203A5B51" w:rsidR="00D459C7" w:rsidRPr="004260EB" w:rsidRDefault="00D459C7" w:rsidP="00D459C7">
            <w:pPr>
              <w:autoSpaceDE w:val="0"/>
              <w:autoSpaceDN w:val="0"/>
              <w:adjustRightInd w:val="0"/>
              <w:rPr>
                <w:rFonts w:ascii="Arial" w:eastAsiaTheme="minorHAnsi" w:hAnsi="Arial" w:cs="Arial"/>
                <w:sz w:val="22"/>
                <w:szCs w:val="22"/>
                <w:lang w:eastAsia="en-US"/>
              </w:rPr>
            </w:pPr>
            <w:r w:rsidRPr="004260EB">
              <w:rPr>
                <w:rFonts w:ascii="Arial" w:eastAsiaTheme="minorHAnsi" w:hAnsi="Arial" w:cs="Arial"/>
                <w:sz w:val="22"/>
                <w:szCs w:val="22"/>
                <w:lang w:eastAsia="en-US"/>
              </w:rPr>
              <w:t xml:space="preserve">Für Verordnungen durch </w:t>
            </w:r>
            <w:r>
              <w:rPr>
                <w:rFonts w:ascii="Arial" w:eastAsiaTheme="minorHAnsi" w:hAnsi="Arial" w:cs="Arial"/>
                <w:sz w:val="22"/>
                <w:szCs w:val="22"/>
                <w:lang w:eastAsia="en-US"/>
              </w:rPr>
              <w:t xml:space="preserve">Institutsambulanzen </w:t>
            </w:r>
            <w:r w:rsidRPr="004260EB">
              <w:rPr>
                <w:rFonts w:ascii="Arial" w:eastAsiaTheme="minorHAnsi" w:hAnsi="Arial" w:cs="Arial"/>
                <w:sz w:val="22"/>
                <w:szCs w:val="22"/>
                <w:lang w:eastAsia="en-US"/>
              </w:rPr>
              <w:t>wird auf bayerischer Ebene</w:t>
            </w:r>
            <w:r>
              <w:rPr>
                <w:rFonts w:ascii="Arial" w:eastAsiaTheme="minorHAnsi" w:hAnsi="Arial" w:cs="Arial"/>
                <w:sz w:val="22"/>
                <w:szCs w:val="22"/>
                <w:lang w:eastAsia="en-US"/>
              </w:rPr>
              <w:t xml:space="preserve"> Folgendes geregelt:</w:t>
            </w:r>
          </w:p>
          <w:p w14:paraId="230CA88A" w14:textId="7612105B" w:rsidR="00D459C7" w:rsidRPr="004260EB" w:rsidRDefault="00D459C7" w:rsidP="00D459C7">
            <w:pPr>
              <w:autoSpaceDE w:val="0"/>
              <w:autoSpaceDN w:val="0"/>
              <w:adjustRightInd w:val="0"/>
              <w:rPr>
                <w:rFonts w:ascii="Arial" w:eastAsiaTheme="minorHAnsi" w:hAnsi="Arial" w:cs="Arial"/>
                <w:sz w:val="22"/>
                <w:szCs w:val="22"/>
                <w:lang w:eastAsia="en-US"/>
              </w:rPr>
            </w:pPr>
          </w:p>
          <w:p w14:paraId="37AA6F4E" w14:textId="60709478" w:rsidR="00D459C7" w:rsidRPr="004260EB" w:rsidRDefault="00D459C7" w:rsidP="00D459C7">
            <w:pPr>
              <w:autoSpaceDE w:val="0"/>
              <w:autoSpaceDN w:val="0"/>
              <w:adjustRightInd w:val="0"/>
              <w:rPr>
                <w:rFonts w:ascii="Arial" w:eastAsiaTheme="minorHAnsi" w:hAnsi="Arial" w:cs="Arial"/>
                <w:sz w:val="22"/>
                <w:szCs w:val="22"/>
                <w:lang w:eastAsia="en-US"/>
              </w:rPr>
            </w:pPr>
            <w:r>
              <w:rPr>
                <w:rFonts w:ascii="Arial" w:eastAsiaTheme="minorHAnsi" w:hAnsi="Arial" w:cs="Arial"/>
                <w:sz w:val="22"/>
                <w:szCs w:val="22"/>
                <w:lang w:eastAsia="en-US"/>
              </w:rPr>
              <w:t>D</w:t>
            </w:r>
            <w:r w:rsidRPr="004260EB">
              <w:rPr>
                <w:rFonts w:ascii="Arial" w:eastAsiaTheme="minorHAnsi" w:hAnsi="Arial" w:cs="Arial"/>
                <w:sz w:val="22"/>
                <w:szCs w:val="22"/>
                <w:lang w:eastAsia="en-US"/>
              </w:rPr>
              <w:t>ie bayerischen</w:t>
            </w:r>
          </w:p>
          <w:p w14:paraId="653EFB0E" w14:textId="711F00AB" w:rsidR="00D459C7" w:rsidRDefault="00D459C7" w:rsidP="00D459C7">
            <w:pPr>
              <w:autoSpaceDE w:val="0"/>
              <w:autoSpaceDN w:val="0"/>
              <w:adjustRightInd w:val="0"/>
              <w:rPr>
                <w:rFonts w:ascii="Arial" w:eastAsiaTheme="minorHAnsi" w:hAnsi="Arial" w:cs="Arial"/>
                <w:sz w:val="22"/>
                <w:szCs w:val="22"/>
                <w:lang w:eastAsia="en-US"/>
              </w:rPr>
            </w:pPr>
            <w:r>
              <w:rPr>
                <w:rFonts w:ascii="Arial" w:eastAsiaTheme="minorHAnsi" w:hAnsi="Arial" w:cs="Arial"/>
                <w:sz w:val="22"/>
                <w:szCs w:val="22"/>
                <w:lang w:eastAsia="en-US"/>
              </w:rPr>
              <w:t xml:space="preserve">Institutsambulanzen verwenden </w:t>
            </w:r>
            <w:r w:rsidRPr="004260EB">
              <w:rPr>
                <w:rFonts w:ascii="Arial" w:eastAsiaTheme="minorHAnsi" w:hAnsi="Arial" w:cs="Arial"/>
                <w:sz w:val="22"/>
                <w:szCs w:val="22"/>
                <w:lang w:eastAsia="en-US"/>
              </w:rPr>
              <w:t>zur korrekten Befüllung von Verordnungsvordrucken</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die BSNR im Feld „Betriebsstätten-Nr.“. Sie</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bestellen zudem die Verordnungsvordrucke unter</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eben dieser BSNR beim Kohlhammer-Verlag. Somit ist auf</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den Verordnungsvordrucken für das Muster 16 durch den</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Kohlhammer-Verlag in der Kodierleiste die BSNR</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 xml:space="preserve">eingedruckt. </w:t>
            </w:r>
          </w:p>
          <w:p w14:paraId="497B2438" w14:textId="77777777" w:rsidR="00D459C7" w:rsidRDefault="00D459C7" w:rsidP="00D459C7">
            <w:pPr>
              <w:autoSpaceDE w:val="0"/>
              <w:autoSpaceDN w:val="0"/>
              <w:adjustRightInd w:val="0"/>
              <w:rPr>
                <w:rFonts w:ascii="Arial" w:eastAsiaTheme="minorHAnsi" w:hAnsi="Arial" w:cs="Arial"/>
                <w:sz w:val="22"/>
                <w:szCs w:val="22"/>
                <w:lang w:eastAsia="en-US"/>
              </w:rPr>
            </w:pPr>
          </w:p>
          <w:p w14:paraId="137A065C" w14:textId="77777777" w:rsidR="00D459C7" w:rsidRDefault="00D459C7" w:rsidP="00D459C7">
            <w:pPr>
              <w:autoSpaceDE w:val="0"/>
              <w:autoSpaceDN w:val="0"/>
              <w:adjustRightInd w:val="0"/>
              <w:rPr>
                <w:rFonts w:ascii="Arial" w:eastAsiaTheme="minorHAnsi" w:hAnsi="Arial" w:cs="Arial"/>
                <w:sz w:val="22"/>
                <w:szCs w:val="22"/>
                <w:lang w:eastAsia="en-US"/>
              </w:rPr>
            </w:pPr>
            <w:r w:rsidRPr="004260EB">
              <w:rPr>
                <w:rFonts w:ascii="Arial" w:eastAsiaTheme="minorHAnsi" w:hAnsi="Arial" w:cs="Arial"/>
                <w:sz w:val="22"/>
                <w:szCs w:val="22"/>
                <w:lang w:eastAsia="en-US"/>
              </w:rPr>
              <w:t xml:space="preserve">Die </w:t>
            </w:r>
            <w:r>
              <w:rPr>
                <w:rFonts w:ascii="Arial" w:eastAsiaTheme="minorHAnsi" w:hAnsi="Arial" w:cs="Arial"/>
                <w:sz w:val="22"/>
                <w:szCs w:val="22"/>
                <w:lang w:eastAsia="en-US"/>
              </w:rPr>
              <w:t xml:space="preserve">Institutsambulanz </w:t>
            </w:r>
            <w:r w:rsidRPr="004260EB">
              <w:rPr>
                <w:rFonts w:ascii="Arial" w:eastAsiaTheme="minorHAnsi" w:hAnsi="Arial" w:cs="Arial"/>
                <w:sz w:val="22"/>
                <w:szCs w:val="22"/>
                <w:lang w:eastAsia="en-US"/>
              </w:rPr>
              <w:t>befüllt das Feld „Betriebsstätten-Nr.“</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sodann selbständig mit der BSNR. Wichtig ist, dass diese</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beiden Positionen auf dem Verordnungsvordruck mit einer</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einheitlichen Nummer, derzeit der BSNR, gefüllt sind.</w:t>
            </w:r>
          </w:p>
          <w:p w14:paraId="1025E80B" w14:textId="597C5FF4" w:rsidR="00D459C7" w:rsidRPr="004260EB" w:rsidRDefault="00D459C7" w:rsidP="00D459C7">
            <w:pPr>
              <w:autoSpaceDE w:val="0"/>
              <w:autoSpaceDN w:val="0"/>
              <w:adjustRightInd w:val="0"/>
              <w:rPr>
                <w:rFonts w:ascii="Arial" w:hAnsi="Arial" w:cs="Arial"/>
                <w:sz w:val="22"/>
              </w:rPr>
            </w:pPr>
            <w:r w:rsidRPr="004260EB">
              <w:rPr>
                <w:rFonts w:ascii="Arial" w:eastAsiaTheme="minorHAnsi" w:hAnsi="Arial" w:cs="Arial"/>
                <w:sz w:val="22"/>
                <w:szCs w:val="22"/>
                <w:lang w:eastAsia="en-US"/>
              </w:rPr>
              <w:t xml:space="preserve"> </w:t>
            </w:r>
          </w:p>
        </w:tc>
        <w:tc>
          <w:tcPr>
            <w:tcW w:w="2867" w:type="dxa"/>
          </w:tcPr>
          <w:p w14:paraId="1943A3DF" w14:textId="77777777" w:rsidR="00D459C7" w:rsidRPr="004260EB" w:rsidRDefault="00D459C7" w:rsidP="00D459C7">
            <w:pPr>
              <w:rPr>
                <w:rFonts w:ascii="Arial" w:hAnsi="Arial" w:cs="Arial"/>
                <w:sz w:val="22"/>
              </w:rPr>
            </w:pPr>
          </w:p>
        </w:tc>
        <w:tc>
          <w:tcPr>
            <w:tcW w:w="1357" w:type="dxa"/>
          </w:tcPr>
          <w:p w14:paraId="52F26C7D" w14:textId="60394462" w:rsidR="00D459C7" w:rsidRPr="004260EB" w:rsidRDefault="00D459C7" w:rsidP="00D459C7">
            <w:pPr>
              <w:rPr>
                <w:rFonts w:ascii="Arial" w:hAnsi="Arial" w:cs="Arial"/>
                <w:sz w:val="22"/>
              </w:rPr>
            </w:pPr>
          </w:p>
        </w:tc>
      </w:tr>
      <w:tr w:rsidR="001739DE" w:rsidRPr="00955618" w14:paraId="3435D0DE" w14:textId="77777777" w:rsidTr="004D1CE4">
        <w:trPr>
          <w:trHeight w:val="901"/>
        </w:trPr>
        <w:tc>
          <w:tcPr>
            <w:tcW w:w="3049" w:type="dxa"/>
          </w:tcPr>
          <w:p w14:paraId="56EAF173"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Verwaltungstätigkeiten</w:t>
            </w:r>
          </w:p>
          <w:p w14:paraId="0E3DBD4B"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2.2.7</w:t>
            </w:r>
          </w:p>
        </w:tc>
        <w:tc>
          <w:tcPr>
            <w:tcW w:w="1633" w:type="dxa"/>
          </w:tcPr>
          <w:p w14:paraId="49152201" w14:textId="2AF6C76D"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3DFA2526"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Verwaltungstätigkeiten, egal von wem erbracht, sind nicht abrechnungsfähig, da diese Leistungen bereits in die Abrechnungsziffern einkalkuliert wurden.</w:t>
            </w:r>
          </w:p>
          <w:p w14:paraId="4AC660F2" w14:textId="4B52AE6B" w:rsidR="00D459C7" w:rsidRPr="00955618" w:rsidRDefault="00D459C7" w:rsidP="00D459C7">
            <w:pPr>
              <w:rPr>
                <w:rFonts w:ascii="Arial" w:hAnsi="Arial" w:cs="Arial"/>
                <w:color w:val="000000" w:themeColor="text1"/>
                <w:sz w:val="22"/>
              </w:rPr>
            </w:pPr>
          </w:p>
        </w:tc>
        <w:tc>
          <w:tcPr>
            <w:tcW w:w="2867" w:type="dxa"/>
          </w:tcPr>
          <w:p w14:paraId="378202ED" w14:textId="77777777" w:rsidR="00D459C7" w:rsidRPr="00955618" w:rsidRDefault="00D459C7" w:rsidP="00D459C7">
            <w:pPr>
              <w:rPr>
                <w:rFonts w:ascii="Arial" w:hAnsi="Arial" w:cs="Arial"/>
                <w:color w:val="000000" w:themeColor="text1"/>
                <w:sz w:val="22"/>
              </w:rPr>
            </w:pPr>
          </w:p>
        </w:tc>
        <w:tc>
          <w:tcPr>
            <w:tcW w:w="1357" w:type="dxa"/>
          </w:tcPr>
          <w:p w14:paraId="11B6FDDD" w14:textId="77777777" w:rsidR="00D459C7" w:rsidRPr="00955618" w:rsidRDefault="00D459C7" w:rsidP="00D459C7">
            <w:pPr>
              <w:rPr>
                <w:rFonts w:ascii="Arial" w:hAnsi="Arial" w:cs="Arial"/>
                <w:color w:val="000000" w:themeColor="text1"/>
                <w:sz w:val="22"/>
              </w:rPr>
            </w:pPr>
          </w:p>
        </w:tc>
      </w:tr>
      <w:tr w:rsidR="001739DE" w:rsidRPr="00955618" w14:paraId="08FC5DFB" w14:textId="77777777" w:rsidTr="004D1CE4">
        <w:trPr>
          <w:trHeight w:val="901"/>
        </w:trPr>
        <w:tc>
          <w:tcPr>
            <w:tcW w:w="3049" w:type="dxa"/>
          </w:tcPr>
          <w:p w14:paraId="0F9A965D" w14:textId="77777777" w:rsidR="00D459C7" w:rsidRDefault="00D459C7" w:rsidP="00D459C7">
            <w:pPr>
              <w:rPr>
                <w:rFonts w:ascii="Arial" w:hAnsi="Arial" w:cs="Arial"/>
                <w:b/>
                <w:bCs/>
                <w:color w:val="000000" w:themeColor="text1"/>
                <w:sz w:val="22"/>
              </w:rPr>
            </w:pPr>
            <w:bookmarkStart w:id="3" w:name="_GoBack"/>
            <w:r>
              <w:rPr>
                <w:rFonts w:ascii="Arial" w:hAnsi="Arial" w:cs="Arial"/>
                <w:b/>
                <w:bCs/>
                <w:color w:val="000000" w:themeColor="text1"/>
                <w:sz w:val="22"/>
              </w:rPr>
              <w:t>Video</w:t>
            </w:r>
            <w:bookmarkEnd w:id="3"/>
            <w:r>
              <w:rPr>
                <w:rFonts w:ascii="Arial" w:hAnsi="Arial" w:cs="Arial"/>
                <w:b/>
                <w:bCs/>
                <w:color w:val="000000" w:themeColor="text1"/>
                <w:sz w:val="22"/>
              </w:rPr>
              <w:t>sprechstunde</w:t>
            </w:r>
          </w:p>
          <w:p w14:paraId="38872CBA" w14:textId="77777777" w:rsidR="00D459C7" w:rsidRPr="002B2E37" w:rsidRDefault="00D459C7" w:rsidP="00D459C7">
            <w:pPr>
              <w:rPr>
                <w:rFonts w:ascii="Arial" w:hAnsi="Arial" w:cs="Arial"/>
                <w:bCs/>
                <w:color w:val="000000" w:themeColor="text1"/>
                <w:sz w:val="22"/>
              </w:rPr>
            </w:pPr>
            <w:r>
              <w:rPr>
                <w:rFonts w:ascii="Arial" w:hAnsi="Arial" w:cs="Arial"/>
                <w:bCs/>
                <w:color w:val="000000" w:themeColor="text1"/>
                <w:sz w:val="22"/>
              </w:rPr>
              <w:t>2.1.17</w:t>
            </w:r>
          </w:p>
        </w:tc>
        <w:tc>
          <w:tcPr>
            <w:tcW w:w="1633" w:type="dxa"/>
          </w:tcPr>
          <w:p w14:paraId="34CBA53A" w14:textId="62DB3EBE" w:rsidR="00D459C7" w:rsidRPr="00955618" w:rsidRDefault="001739DE" w:rsidP="007B78C9">
            <w:pPr>
              <w:jc w:val="center"/>
              <w:rPr>
                <w:rFonts w:ascii="Arial" w:hAnsi="Arial" w:cs="Arial"/>
                <w:color w:val="000000" w:themeColor="text1"/>
                <w:sz w:val="22"/>
              </w:rPr>
            </w:pPr>
            <w:r>
              <w:rPr>
                <w:rFonts w:ascii="Arial" w:hAnsi="Arial" w:cs="Arial"/>
                <w:color w:val="000000" w:themeColor="text1"/>
                <w:sz w:val="22"/>
              </w:rPr>
              <w:t xml:space="preserve">Große Runde PsIA </w:t>
            </w:r>
            <w:r>
              <w:rPr>
                <w:rFonts w:ascii="Arial" w:hAnsi="Arial" w:cs="Arial"/>
                <w:color w:val="000000" w:themeColor="text1"/>
                <w:sz w:val="22"/>
              </w:rPr>
              <w:br/>
              <w:t xml:space="preserve">am 05.06.2024 </w:t>
            </w:r>
          </w:p>
        </w:tc>
        <w:tc>
          <w:tcPr>
            <w:tcW w:w="5831" w:type="dxa"/>
          </w:tcPr>
          <w:p w14:paraId="65627AB6" w14:textId="4BBEBFA4" w:rsidR="001739DE" w:rsidRPr="001739DE" w:rsidRDefault="001739DE" w:rsidP="001739DE">
            <w:pPr>
              <w:rPr>
                <w:rFonts w:ascii="Arial" w:hAnsi="Arial" w:cs="Arial"/>
                <w:color w:val="000000" w:themeColor="text1"/>
                <w:sz w:val="22"/>
              </w:rPr>
            </w:pPr>
            <w:r>
              <w:t xml:space="preserve"> </w:t>
            </w:r>
          </w:p>
          <w:p w14:paraId="4DD75AAF" w14:textId="5B477AD9" w:rsidR="001739DE" w:rsidRPr="001739DE" w:rsidRDefault="001739DE" w:rsidP="001739DE">
            <w:pPr>
              <w:rPr>
                <w:rFonts w:ascii="Arial" w:hAnsi="Arial" w:cs="Arial"/>
                <w:color w:val="000000" w:themeColor="text1"/>
                <w:sz w:val="22"/>
              </w:rPr>
            </w:pPr>
            <w:r w:rsidRPr="001739DE">
              <w:rPr>
                <w:rFonts w:ascii="Arial" w:hAnsi="Arial" w:cs="Arial"/>
                <w:color w:val="000000" w:themeColor="text1"/>
                <w:sz w:val="22"/>
              </w:rPr>
              <w:t>Die Vorgaben des Bundesmantelvertrages-Ärzte, insbesondere auch technischer Art, zur Erbringung von Videosprechstunden (Anlage 31b) sind von den P</w:t>
            </w:r>
            <w:r w:rsidR="001D2780">
              <w:rPr>
                <w:rFonts w:ascii="Arial" w:hAnsi="Arial" w:cs="Arial"/>
                <w:color w:val="000000" w:themeColor="text1"/>
                <w:sz w:val="22"/>
              </w:rPr>
              <w:t>s</w:t>
            </w:r>
            <w:r w:rsidRPr="001739DE">
              <w:rPr>
                <w:rFonts w:ascii="Arial" w:hAnsi="Arial" w:cs="Arial"/>
                <w:color w:val="000000" w:themeColor="text1"/>
                <w:sz w:val="22"/>
              </w:rPr>
              <w:t>IA einzuhalten.</w:t>
            </w:r>
          </w:p>
          <w:p w14:paraId="2323A1C5" w14:textId="77777777" w:rsidR="007B78C9" w:rsidRDefault="001739DE" w:rsidP="001739DE">
            <w:pPr>
              <w:rPr>
                <w:rFonts w:ascii="Arial" w:hAnsi="Arial" w:cs="Arial"/>
                <w:color w:val="000000" w:themeColor="text1"/>
                <w:sz w:val="22"/>
              </w:rPr>
            </w:pPr>
            <w:r w:rsidRPr="001739DE">
              <w:rPr>
                <w:rFonts w:ascii="Arial" w:hAnsi="Arial" w:cs="Arial"/>
                <w:color w:val="000000" w:themeColor="text1"/>
                <w:sz w:val="22"/>
              </w:rPr>
              <w:t>Alle darin enthaltenen, allgemeinen Ausführungen zum „Vertragsarzt“ sind dabei entsprechend auf die gesamte P</w:t>
            </w:r>
            <w:r w:rsidR="001D2780">
              <w:rPr>
                <w:rFonts w:ascii="Arial" w:hAnsi="Arial" w:cs="Arial"/>
                <w:color w:val="000000" w:themeColor="text1"/>
                <w:sz w:val="22"/>
              </w:rPr>
              <w:t>s</w:t>
            </w:r>
            <w:r w:rsidRPr="001739DE">
              <w:rPr>
                <w:rFonts w:ascii="Arial" w:hAnsi="Arial" w:cs="Arial"/>
                <w:color w:val="000000" w:themeColor="text1"/>
                <w:sz w:val="22"/>
              </w:rPr>
              <w:t>IA bzw. den Leiter der P</w:t>
            </w:r>
            <w:r w:rsidR="001D2780">
              <w:rPr>
                <w:rFonts w:ascii="Arial" w:hAnsi="Arial" w:cs="Arial"/>
                <w:color w:val="000000" w:themeColor="text1"/>
                <w:sz w:val="22"/>
              </w:rPr>
              <w:t>s</w:t>
            </w:r>
            <w:r w:rsidRPr="001739DE">
              <w:rPr>
                <w:rFonts w:ascii="Arial" w:hAnsi="Arial" w:cs="Arial"/>
                <w:color w:val="000000" w:themeColor="text1"/>
                <w:sz w:val="22"/>
              </w:rPr>
              <w:t>IA anzuwenden.</w:t>
            </w:r>
            <w:r>
              <w:rPr>
                <w:rFonts w:ascii="Arial" w:hAnsi="Arial" w:cs="Arial"/>
                <w:color w:val="000000" w:themeColor="text1"/>
                <w:sz w:val="22"/>
              </w:rPr>
              <w:t xml:space="preserve"> </w:t>
            </w:r>
          </w:p>
          <w:p w14:paraId="5561CF0C" w14:textId="77777777" w:rsidR="007B78C9" w:rsidRDefault="007B78C9" w:rsidP="001739DE">
            <w:pPr>
              <w:rPr>
                <w:rFonts w:ascii="Arial" w:hAnsi="Arial" w:cs="Arial"/>
                <w:color w:val="000000" w:themeColor="text1"/>
                <w:sz w:val="22"/>
              </w:rPr>
            </w:pPr>
          </w:p>
          <w:p w14:paraId="3DA94812" w14:textId="30839A67" w:rsidR="001739DE" w:rsidRPr="001739DE" w:rsidRDefault="001739DE" w:rsidP="001739DE">
            <w:pPr>
              <w:rPr>
                <w:rFonts w:ascii="Arial" w:hAnsi="Arial" w:cs="Arial"/>
                <w:color w:val="000000" w:themeColor="text1"/>
                <w:sz w:val="22"/>
              </w:rPr>
            </w:pPr>
            <w:r w:rsidRPr="001739DE">
              <w:rPr>
                <w:rFonts w:ascii="Arial" w:hAnsi="Arial" w:cs="Arial"/>
                <w:color w:val="000000" w:themeColor="text1"/>
                <w:sz w:val="22"/>
              </w:rPr>
              <w:t>Als Videosprechstunde wird die synchrone Kommunikation zwischen einem in der P</w:t>
            </w:r>
            <w:r w:rsidR="001D2780">
              <w:rPr>
                <w:rFonts w:ascii="Arial" w:hAnsi="Arial" w:cs="Arial"/>
                <w:color w:val="000000" w:themeColor="text1"/>
                <w:sz w:val="22"/>
              </w:rPr>
              <w:t>s</w:t>
            </w:r>
            <w:r w:rsidRPr="001739DE">
              <w:rPr>
                <w:rFonts w:ascii="Arial" w:hAnsi="Arial" w:cs="Arial"/>
                <w:color w:val="000000" w:themeColor="text1"/>
                <w:sz w:val="22"/>
              </w:rPr>
              <w:t>IA tätigen Therapeuten und einem ihm bekannten Patienten, ggf. unter Assistenz z.B. durch eine Bezugsperson des Patienten, im Wege einer Onlinebehandlung per Video in Echtzeit angesehen.</w:t>
            </w:r>
            <w:r w:rsidR="007B78C9">
              <w:rPr>
                <w:rFonts w:ascii="Arial" w:hAnsi="Arial" w:cs="Arial"/>
                <w:color w:val="000000" w:themeColor="text1"/>
                <w:sz w:val="22"/>
              </w:rPr>
              <w:t xml:space="preserve"> </w:t>
            </w:r>
            <w:r w:rsidRPr="001739DE">
              <w:rPr>
                <w:rFonts w:ascii="Arial" w:hAnsi="Arial" w:cs="Arial"/>
                <w:color w:val="000000" w:themeColor="text1"/>
                <w:sz w:val="22"/>
              </w:rPr>
              <w:t>In Abgrenzung dazu stellen aufgezeichnete Videofilme oder digitale Gesundheitsanwendungen (DiGA) keine Behandlung in diesem Sinne dar.</w:t>
            </w:r>
          </w:p>
          <w:p w14:paraId="09233F87" w14:textId="72DEB15F" w:rsidR="001739DE" w:rsidRDefault="001739DE" w:rsidP="001739DE">
            <w:pPr>
              <w:rPr>
                <w:rFonts w:ascii="Arial" w:hAnsi="Arial" w:cs="Arial"/>
                <w:color w:val="000000" w:themeColor="text1"/>
                <w:sz w:val="22"/>
              </w:rPr>
            </w:pPr>
            <w:r w:rsidRPr="001739DE">
              <w:rPr>
                <w:rFonts w:ascii="Arial" w:hAnsi="Arial" w:cs="Arial"/>
                <w:color w:val="000000" w:themeColor="text1"/>
                <w:sz w:val="22"/>
              </w:rPr>
              <w:t>Die Kommunikation zwischen zwei Therapeuten per Videokanal entspricht ebenfalls nicht den Vorgaben der Vereinbarung.</w:t>
            </w:r>
          </w:p>
          <w:p w14:paraId="64477BA0" w14:textId="74298128" w:rsidR="007B78C9" w:rsidRDefault="007B78C9" w:rsidP="001739DE">
            <w:pPr>
              <w:rPr>
                <w:rFonts w:ascii="Arial" w:hAnsi="Arial" w:cs="Arial"/>
                <w:color w:val="000000" w:themeColor="text1"/>
                <w:sz w:val="22"/>
              </w:rPr>
            </w:pPr>
          </w:p>
          <w:p w14:paraId="2848D81D" w14:textId="21CBB6E6" w:rsidR="001739DE" w:rsidRDefault="001739DE" w:rsidP="001739DE">
            <w:pPr>
              <w:rPr>
                <w:rFonts w:ascii="Arial" w:hAnsi="Arial" w:cs="Arial"/>
                <w:color w:val="000000" w:themeColor="text1"/>
                <w:sz w:val="22"/>
              </w:rPr>
            </w:pPr>
            <w:r w:rsidRPr="001739DE">
              <w:rPr>
                <w:rFonts w:ascii="Arial" w:hAnsi="Arial" w:cs="Arial"/>
                <w:color w:val="000000" w:themeColor="text1"/>
                <w:sz w:val="22"/>
              </w:rPr>
              <w:t>Daneben sind folgende Bestimmungen zu beachten:</w:t>
            </w:r>
          </w:p>
          <w:p w14:paraId="1F345998" w14:textId="77777777" w:rsidR="007B78C9" w:rsidRPr="001739DE" w:rsidRDefault="007B78C9" w:rsidP="001739DE">
            <w:pPr>
              <w:rPr>
                <w:rFonts w:ascii="Arial" w:hAnsi="Arial" w:cs="Arial"/>
                <w:color w:val="000000" w:themeColor="text1"/>
                <w:sz w:val="22"/>
              </w:rPr>
            </w:pPr>
          </w:p>
          <w:p w14:paraId="333098E7" w14:textId="0A9A6808" w:rsidR="001739DE" w:rsidRDefault="001739DE" w:rsidP="001739DE">
            <w:pPr>
              <w:rPr>
                <w:rFonts w:ascii="Arial" w:hAnsi="Arial" w:cs="Arial"/>
                <w:color w:val="000000" w:themeColor="text1"/>
                <w:sz w:val="22"/>
              </w:rPr>
            </w:pPr>
            <w:r w:rsidRPr="001739DE">
              <w:rPr>
                <w:rFonts w:ascii="Arial" w:hAnsi="Arial" w:cs="Arial"/>
                <w:color w:val="000000" w:themeColor="text1"/>
                <w:sz w:val="22"/>
              </w:rPr>
              <w:t xml:space="preserve">Die Entscheidung über die Erbringung von Leistungen auf telemedizinischer Basis trifft der Patient gemeinsam mit dem Therapeuten unter Beachtung der vertraglichen Regelungen. Sie ist als Therapieentscheidung ärztlich zu </w:t>
            </w:r>
            <w:r>
              <w:rPr>
                <w:rFonts w:ascii="Arial" w:hAnsi="Arial" w:cs="Arial"/>
                <w:color w:val="000000" w:themeColor="text1"/>
                <w:sz w:val="22"/>
              </w:rPr>
              <w:t>v</w:t>
            </w:r>
            <w:r w:rsidRPr="001739DE">
              <w:rPr>
                <w:rFonts w:ascii="Arial" w:hAnsi="Arial" w:cs="Arial"/>
                <w:color w:val="000000" w:themeColor="text1"/>
                <w:sz w:val="22"/>
              </w:rPr>
              <w:t>erantworten und zu dokumentieren.</w:t>
            </w:r>
          </w:p>
          <w:p w14:paraId="6095B14D" w14:textId="6E31BDF7" w:rsidR="007B78C9" w:rsidRDefault="007B78C9" w:rsidP="001739DE">
            <w:pPr>
              <w:rPr>
                <w:rFonts w:ascii="Arial" w:hAnsi="Arial" w:cs="Arial"/>
                <w:color w:val="000000" w:themeColor="text1"/>
                <w:sz w:val="22"/>
              </w:rPr>
            </w:pPr>
          </w:p>
          <w:p w14:paraId="05518FA4" w14:textId="77777777" w:rsidR="007B78C9" w:rsidRPr="001739DE" w:rsidRDefault="007B78C9" w:rsidP="001739DE">
            <w:pPr>
              <w:rPr>
                <w:rFonts w:ascii="Arial" w:hAnsi="Arial" w:cs="Arial"/>
                <w:color w:val="000000" w:themeColor="text1"/>
                <w:sz w:val="22"/>
              </w:rPr>
            </w:pPr>
          </w:p>
          <w:p w14:paraId="383FB49A" w14:textId="1CB638EF" w:rsidR="001739DE" w:rsidRDefault="001739DE" w:rsidP="001739DE">
            <w:pPr>
              <w:rPr>
                <w:rFonts w:ascii="Arial" w:hAnsi="Arial" w:cs="Arial"/>
                <w:color w:val="000000" w:themeColor="text1"/>
                <w:sz w:val="22"/>
              </w:rPr>
            </w:pPr>
            <w:r w:rsidRPr="001739DE">
              <w:rPr>
                <w:rFonts w:ascii="Arial" w:hAnsi="Arial" w:cs="Arial"/>
                <w:color w:val="000000" w:themeColor="text1"/>
                <w:sz w:val="22"/>
              </w:rPr>
              <w:t>Die Erbringung als telemedizinische Leistung ist für jede Patientin oder jeden Patienten im Einzelfall zu entscheiden. Der Therapeut muss den Patienten auf die Möglichkeit einer Behandlung im unmittelbar persönlichen Kontakt hinweisen. Die Erbringung von Leistungen im Rahmeneines unmittelbar persönlichen Kontaktes ist derzeit etablierter fachlicher Standard. Sie hat Vorrang vor einer Erbringung als telemedizinische Leistung, sobald das Therapieziel aus therapeutischer und medizinischer Sicht nicht in gleichem Maße wie bei einer Präsenztherapie erreicht werden kann.</w:t>
            </w:r>
          </w:p>
          <w:p w14:paraId="15B2E226" w14:textId="47B8BCE8" w:rsidR="007B78C9" w:rsidRDefault="007B78C9" w:rsidP="001739DE">
            <w:pPr>
              <w:rPr>
                <w:rFonts w:ascii="Arial" w:hAnsi="Arial" w:cs="Arial"/>
                <w:color w:val="000000" w:themeColor="text1"/>
                <w:sz w:val="22"/>
              </w:rPr>
            </w:pPr>
          </w:p>
          <w:p w14:paraId="3456A92B" w14:textId="0C03B0A8" w:rsidR="001739DE" w:rsidRDefault="001739DE" w:rsidP="001739DE">
            <w:pPr>
              <w:rPr>
                <w:rFonts w:ascii="Arial" w:hAnsi="Arial" w:cs="Arial"/>
                <w:color w:val="000000" w:themeColor="text1"/>
                <w:sz w:val="22"/>
              </w:rPr>
            </w:pPr>
            <w:r w:rsidRPr="001739DE">
              <w:rPr>
                <w:rFonts w:ascii="Arial" w:hAnsi="Arial" w:cs="Arial"/>
                <w:color w:val="000000" w:themeColor="text1"/>
                <w:sz w:val="22"/>
              </w:rPr>
              <w:t xml:space="preserve">Kann die Behandlung als telemedizinische Leistung nicht sachgerecht erfolgen oder entscheidet sich der Patient oder der Therapeut gegen eine weitere telemedizinische Leistungserbringung, muss die Behandlung im Wege </w:t>
            </w:r>
            <w:r w:rsidRPr="001739DE">
              <w:rPr>
                <w:rFonts w:ascii="Arial" w:hAnsi="Arial" w:cs="Arial"/>
                <w:color w:val="000000" w:themeColor="text1"/>
                <w:sz w:val="22"/>
              </w:rPr>
              <w:lastRenderedPageBreak/>
              <w:t>eines unmittelbar persönlichen Kontaktes fortgesetzt werden.</w:t>
            </w:r>
          </w:p>
          <w:p w14:paraId="049CE737" w14:textId="77777777" w:rsidR="007B78C9" w:rsidRPr="001739DE" w:rsidRDefault="007B78C9" w:rsidP="001739DE">
            <w:pPr>
              <w:rPr>
                <w:rFonts w:ascii="Arial" w:hAnsi="Arial" w:cs="Arial"/>
                <w:color w:val="000000" w:themeColor="text1"/>
                <w:sz w:val="22"/>
              </w:rPr>
            </w:pPr>
          </w:p>
          <w:p w14:paraId="4B370674" w14:textId="7CADAA3E" w:rsidR="001739DE" w:rsidRDefault="001739DE" w:rsidP="001739DE">
            <w:pPr>
              <w:rPr>
                <w:rFonts w:ascii="Arial" w:hAnsi="Arial" w:cs="Arial"/>
                <w:b/>
                <w:color w:val="000000" w:themeColor="text1"/>
                <w:sz w:val="22"/>
              </w:rPr>
            </w:pPr>
            <w:r w:rsidRPr="007B78C9">
              <w:rPr>
                <w:rFonts w:ascii="Arial" w:hAnsi="Arial" w:cs="Arial"/>
                <w:b/>
                <w:color w:val="000000" w:themeColor="text1"/>
                <w:sz w:val="22"/>
              </w:rPr>
              <w:t>Eine Behandlung im Rahmen eines Erstkontaktes in der P</w:t>
            </w:r>
            <w:r w:rsidR="001D2780" w:rsidRPr="007B78C9">
              <w:rPr>
                <w:rFonts w:ascii="Arial" w:hAnsi="Arial" w:cs="Arial"/>
                <w:b/>
                <w:color w:val="000000" w:themeColor="text1"/>
                <w:sz w:val="22"/>
              </w:rPr>
              <w:t>s</w:t>
            </w:r>
            <w:r w:rsidRPr="007B78C9">
              <w:rPr>
                <w:rFonts w:ascii="Arial" w:hAnsi="Arial" w:cs="Arial"/>
                <w:b/>
                <w:color w:val="000000" w:themeColor="text1"/>
                <w:sz w:val="22"/>
              </w:rPr>
              <w:t>IA kann nicht in Form einer Videosprechstunde erbracht werden. Als Erstkontakt wird dabei die erstmalige Vorstellung des Patienten in der P</w:t>
            </w:r>
            <w:r w:rsidR="001D2780" w:rsidRPr="007B78C9">
              <w:rPr>
                <w:rFonts w:ascii="Arial" w:hAnsi="Arial" w:cs="Arial"/>
                <w:b/>
                <w:color w:val="000000" w:themeColor="text1"/>
                <w:sz w:val="22"/>
              </w:rPr>
              <w:t>s</w:t>
            </w:r>
            <w:r w:rsidRPr="007B78C9">
              <w:rPr>
                <w:rFonts w:ascii="Arial" w:hAnsi="Arial" w:cs="Arial"/>
                <w:b/>
                <w:color w:val="000000" w:themeColor="text1"/>
                <w:sz w:val="22"/>
              </w:rPr>
              <w:t>IA angesehen.</w:t>
            </w:r>
          </w:p>
          <w:p w14:paraId="2D69126C" w14:textId="77777777" w:rsidR="007B78C9" w:rsidRPr="007B78C9" w:rsidRDefault="007B78C9" w:rsidP="001739DE">
            <w:pPr>
              <w:rPr>
                <w:rFonts w:ascii="Arial" w:hAnsi="Arial" w:cs="Arial"/>
                <w:b/>
                <w:color w:val="000000" w:themeColor="text1"/>
                <w:sz w:val="22"/>
              </w:rPr>
            </w:pPr>
          </w:p>
          <w:p w14:paraId="1A0EACFA" w14:textId="5481A984" w:rsidR="001739DE" w:rsidRDefault="001739DE" w:rsidP="001739DE">
            <w:pPr>
              <w:rPr>
                <w:rFonts w:ascii="Arial" w:hAnsi="Arial" w:cs="Arial"/>
                <w:b/>
                <w:color w:val="000000" w:themeColor="text1"/>
                <w:sz w:val="22"/>
              </w:rPr>
            </w:pPr>
            <w:r w:rsidRPr="007B78C9">
              <w:rPr>
                <w:rFonts w:ascii="Arial" w:hAnsi="Arial" w:cs="Arial"/>
                <w:b/>
                <w:color w:val="000000" w:themeColor="text1"/>
                <w:sz w:val="22"/>
              </w:rPr>
              <w:t>Die Erbringung und Abrechnung von Videosprechstunden ist nur möglich, wenn daneben noch regelmäßig und in angemessener Weise ein unmittelbarer, persönlicher Kontakt (in Präsenz) zwischen Therapeut und Patienten erfolgt.</w:t>
            </w:r>
            <w:r w:rsidR="007B78C9" w:rsidRPr="007B78C9">
              <w:rPr>
                <w:rFonts w:ascii="Arial" w:hAnsi="Arial" w:cs="Arial"/>
                <w:b/>
                <w:color w:val="000000" w:themeColor="text1"/>
                <w:sz w:val="22"/>
              </w:rPr>
              <w:t xml:space="preserve"> </w:t>
            </w:r>
          </w:p>
          <w:p w14:paraId="0D510B37" w14:textId="77777777" w:rsidR="007B78C9" w:rsidRPr="007B78C9" w:rsidRDefault="007B78C9" w:rsidP="001739DE">
            <w:pPr>
              <w:rPr>
                <w:rFonts w:ascii="Arial" w:hAnsi="Arial" w:cs="Arial"/>
                <w:b/>
                <w:color w:val="000000" w:themeColor="text1"/>
                <w:sz w:val="22"/>
              </w:rPr>
            </w:pPr>
          </w:p>
          <w:p w14:paraId="2ED30AEC" w14:textId="58D32022" w:rsidR="001739DE" w:rsidRPr="007B78C9" w:rsidRDefault="001739DE" w:rsidP="001739DE">
            <w:pPr>
              <w:rPr>
                <w:rFonts w:ascii="Arial" w:hAnsi="Arial" w:cs="Arial"/>
                <w:b/>
                <w:color w:val="000000" w:themeColor="text1"/>
                <w:sz w:val="22"/>
              </w:rPr>
            </w:pPr>
            <w:r w:rsidRPr="007B78C9">
              <w:rPr>
                <w:rFonts w:ascii="Arial" w:hAnsi="Arial" w:cs="Arial"/>
                <w:b/>
                <w:color w:val="000000" w:themeColor="text1"/>
                <w:sz w:val="22"/>
              </w:rPr>
              <w:t>Die Durchführung von nichtärztlichen Videosprechstunden ist, ohne persönlichen Arzt-Patientenkontakt mindestens 1 x pro Quartal, nur in den unter Punkt 2.2.5 der Anlage 5 genannten Ausnahmefällen möglich.</w:t>
            </w:r>
          </w:p>
          <w:p w14:paraId="3684A004" w14:textId="77777777" w:rsidR="007B78C9" w:rsidRPr="001739DE" w:rsidRDefault="007B78C9" w:rsidP="001739DE">
            <w:pPr>
              <w:rPr>
                <w:rFonts w:ascii="Arial" w:hAnsi="Arial" w:cs="Arial"/>
                <w:color w:val="000000" w:themeColor="text1"/>
                <w:sz w:val="22"/>
              </w:rPr>
            </w:pPr>
          </w:p>
          <w:p w14:paraId="1ECF32DA" w14:textId="0910963E" w:rsidR="000E2DCA" w:rsidRDefault="001739DE" w:rsidP="001739DE">
            <w:pPr>
              <w:rPr>
                <w:rFonts w:ascii="Arial" w:hAnsi="Arial" w:cs="Arial"/>
                <w:color w:val="000000" w:themeColor="text1"/>
                <w:sz w:val="22"/>
              </w:rPr>
            </w:pPr>
            <w:r w:rsidRPr="001739DE">
              <w:rPr>
                <w:rFonts w:ascii="Arial" w:hAnsi="Arial" w:cs="Arial"/>
                <w:color w:val="000000" w:themeColor="text1"/>
                <w:sz w:val="22"/>
              </w:rPr>
              <w:t>Die Leistung "Videosprechstunde" ist durch alle therapeutischen Berufsgruppen der Anlage 1</w:t>
            </w:r>
            <w:r w:rsidR="001D2780">
              <w:rPr>
                <w:rFonts w:ascii="Arial" w:hAnsi="Arial" w:cs="Arial"/>
                <w:color w:val="000000" w:themeColor="text1"/>
                <w:sz w:val="22"/>
              </w:rPr>
              <w:t xml:space="preserve"> </w:t>
            </w:r>
            <w:r w:rsidRPr="001739DE">
              <w:rPr>
                <w:rFonts w:ascii="Arial" w:hAnsi="Arial" w:cs="Arial"/>
                <w:color w:val="000000" w:themeColor="text1"/>
                <w:sz w:val="22"/>
              </w:rPr>
              <w:t>der P</w:t>
            </w:r>
            <w:r w:rsidR="001D2780">
              <w:rPr>
                <w:rFonts w:ascii="Arial" w:hAnsi="Arial" w:cs="Arial"/>
                <w:color w:val="000000" w:themeColor="text1"/>
                <w:sz w:val="22"/>
              </w:rPr>
              <w:t>s</w:t>
            </w:r>
            <w:r w:rsidRPr="001739DE">
              <w:rPr>
                <w:rFonts w:ascii="Arial" w:hAnsi="Arial" w:cs="Arial"/>
                <w:color w:val="000000" w:themeColor="text1"/>
                <w:sz w:val="22"/>
              </w:rPr>
              <w:t>IA-Landesvereinbarung Ärzte und Psychologen (Berufsgruppen 1 bis 5 der Anlage 1</w:t>
            </w:r>
            <w:r>
              <w:rPr>
                <w:rFonts w:ascii="Arial" w:hAnsi="Arial" w:cs="Arial"/>
                <w:color w:val="000000" w:themeColor="text1"/>
                <w:sz w:val="22"/>
              </w:rPr>
              <w:t xml:space="preserve"> </w:t>
            </w:r>
            <w:r w:rsidRPr="001739DE">
              <w:rPr>
                <w:rFonts w:ascii="Arial" w:hAnsi="Arial" w:cs="Arial"/>
                <w:color w:val="000000" w:themeColor="text1"/>
                <w:sz w:val="22"/>
              </w:rPr>
              <w:t>des Rahmenvertrages) erbringbar</w:t>
            </w:r>
            <w:r>
              <w:rPr>
                <w:rFonts w:ascii="Arial" w:hAnsi="Arial" w:cs="Arial"/>
                <w:color w:val="000000" w:themeColor="text1"/>
                <w:sz w:val="22"/>
              </w:rPr>
              <w:t>.</w:t>
            </w:r>
          </w:p>
          <w:p w14:paraId="65051BBB" w14:textId="09F5AAF2" w:rsidR="001739DE" w:rsidRPr="001739DE" w:rsidRDefault="001739DE" w:rsidP="001739DE">
            <w:pPr>
              <w:rPr>
                <w:rFonts w:ascii="Arial" w:hAnsi="Arial" w:cs="Arial"/>
                <w:color w:val="000000" w:themeColor="text1"/>
                <w:sz w:val="22"/>
              </w:rPr>
            </w:pPr>
            <w:r w:rsidRPr="001739DE">
              <w:rPr>
                <w:rFonts w:ascii="Arial" w:hAnsi="Arial" w:cs="Arial"/>
                <w:color w:val="000000" w:themeColor="text1"/>
                <w:sz w:val="22"/>
              </w:rPr>
              <w:t>Sie ist ausschließlich über die dafür in Anlage 1vorgesehenen Ziffern (Einzel- und Kleingruppenbehandlung) abrechenbar.</w:t>
            </w:r>
          </w:p>
          <w:p w14:paraId="7D6E1D0A" w14:textId="33E3C1FF" w:rsidR="001739DE" w:rsidRDefault="001739DE" w:rsidP="001739DE">
            <w:pPr>
              <w:rPr>
                <w:rFonts w:ascii="Arial" w:hAnsi="Arial" w:cs="Arial"/>
                <w:color w:val="000000" w:themeColor="text1"/>
                <w:sz w:val="22"/>
              </w:rPr>
            </w:pPr>
            <w:r w:rsidRPr="001739DE">
              <w:rPr>
                <w:rFonts w:ascii="Arial" w:hAnsi="Arial" w:cs="Arial"/>
                <w:color w:val="000000" w:themeColor="text1"/>
                <w:sz w:val="22"/>
              </w:rPr>
              <w:t>Die Erbringung von Videosprechstunden ist mittels eigener Leistungsziffer gemäß der Anlage 1</w:t>
            </w:r>
            <w:r>
              <w:rPr>
                <w:rFonts w:ascii="Arial" w:hAnsi="Arial" w:cs="Arial"/>
                <w:color w:val="000000" w:themeColor="text1"/>
                <w:sz w:val="22"/>
              </w:rPr>
              <w:t xml:space="preserve"> </w:t>
            </w:r>
            <w:r w:rsidRPr="001739DE">
              <w:rPr>
                <w:rFonts w:ascii="Arial" w:hAnsi="Arial" w:cs="Arial"/>
                <w:color w:val="000000" w:themeColor="text1"/>
                <w:sz w:val="22"/>
              </w:rPr>
              <w:t>des Rahmenvertrages zu dokumentieren.</w:t>
            </w:r>
          </w:p>
          <w:p w14:paraId="43962469" w14:textId="77777777" w:rsidR="000E2DCA" w:rsidRPr="001739DE" w:rsidRDefault="000E2DCA" w:rsidP="001739DE">
            <w:pPr>
              <w:rPr>
                <w:rFonts w:ascii="Arial" w:hAnsi="Arial" w:cs="Arial"/>
                <w:color w:val="000000" w:themeColor="text1"/>
                <w:sz w:val="22"/>
              </w:rPr>
            </w:pPr>
          </w:p>
          <w:p w14:paraId="3B6A309A" w14:textId="113B467E" w:rsidR="001739DE" w:rsidRPr="001739DE" w:rsidRDefault="001739DE" w:rsidP="001739DE">
            <w:pPr>
              <w:rPr>
                <w:rFonts w:ascii="Arial" w:hAnsi="Arial" w:cs="Arial"/>
                <w:color w:val="000000" w:themeColor="text1"/>
                <w:sz w:val="22"/>
              </w:rPr>
            </w:pPr>
            <w:r w:rsidRPr="001739DE">
              <w:rPr>
                <w:rFonts w:ascii="Arial" w:hAnsi="Arial" w:cs="Arial"/>
                <w:color w:val="000000" w:themeColor="text1"/>
                <w:sz w:val="22"/>
              </w:rPr>
              <w:t>Generell ist die Erbringung der Leistung und die Abrechnung der jeweiligen Leistungsziffer der Videosprechstunde an den Ermächtigungsort der P</w:t>
            </w:r>
            <w:r w:rsidR="001D2780">
              <w:rPr>
                <w:rFonts w:ascii="Arial" w:hAnsi="Arial" w:cs="Arial"/>
                <w:color w:val="000000" w:themeColor="text1"/>
                <w:sz w:val="22"/>
              </w:rPr>
              <w:t>s</w:t>
            </w:r>
            <w:r w:rsidRPr="001739DE">
              <w:rPr>
                <w:rFonts w:ascii="Arial" w:hAnsi="Arial" w:cs="Arial"/>
                <w:color w:val="000000" w:themeColor="text1"/>
                <w:sz w:val="22"/>
              </w:rPr>
              <w:t>IA gebunden.</w:t>
            </w:r>
          </w:p>
          <w:p w14:paraId="659CA3E7" w14:textId="77777777" w:rsidR="000E2DCA" w:rsidRPr="001739DE" w:rsidRDefault="000E2DCA" w:rsidP="001739DE">
            <w:pPr>
              <w:rPr>
                <w:rFonts w:ascii="Arial" w:hAnsi="Arial" w:cs="Arial"/>
                <w:color w:val="000000" w:themeColor="text1"/>
                <w:sz w:val="22"/>
              </w:rPr>
            </w:pPr>
          </w:p>
          <w:p w14:paraId="5154DB97" w14:textId="77777777" w:rsidR="001D2780" w:rsidRDefault="001739DE" w:rsidP="001739DE">
            <w:pPr>
              <w:rPr>
                <w:rFonts w:ascii="Arial" w:hAnsi="Arial" w:cs="Arial"/>
                <w:color w:val="000000" w:themeColor="text1"/>
                <w:sz w:val="22"/>
              </w:rPr>
            </w:pPr>
            <w:r w:rsidRPr="001739DE">
              <w:rPr>
                <w:rFonts w:ascii="Arial" w:hAnsi="Arial" w:cs="Arial"/>
                <w:color w:val="000000" w:themeColor="text1"/>
                <w:sz w:val="22"/>
              </w:rPr>
              <w:t xml:space="preserve">Das Fehlen von therapeutischen Mitarbeitern an einem Standort kann nicht durch eine Videosprechstunde </w:t>
            </w:r>
            <w:r w:rsidRPr="001739DE">
              <w:rPr>
                <w:rFonts w:ascii="Arial" w:hAnsi="Arial" w:cs="Arial"/>
                <w:color w:val="000000" w:themeColor="text1"/>
                <w:sz w:val="22"/>
              </w:rPr>
              <w:lastRenderedPageBreak/>
              <w:t>kompensiert werden und stellt keine Indikation für eine Videosprechstunde dar.</w:t>
            </w:r>
            <w:r w:rsidR="001D2780">
              <w:rPr>
                <w:rFonts w:ascii="Arial" w:hAnsi="Arial" w:cs="Arial"/>
                <w:color w:val="000000" w:themeColor="text1"/>
                <w:sz w:val="22"/>
              </w:rPr>
              <w:t xml:space="preserve"> </w:t>
            </w:r>
          </w:p>
          <w:p w14:paraId="351FC545" w14:textId="7B61D409" w:rsidR="001739DE" w:rsidRDefault="001739DE" w:rsidP="001D2780">
            <w:pPr>
              <w:rPr>
                <w:rFonts w:ascii="Arial" w:hAnsi="Arial" w:cs="Arial"/>
                <w:color w:val="000000" w:themeColor="text1"/>
                <w:sz w:val="22"/>
              </w:rPr>
            </w:pPr>
            <w:r w:rsidRPr="001739DE">
              <w:rPr>
                <w:rFonts w:ascii="Arial" w:hAnsi="Arial" w:cs="Arial"/>
                <w:color w:val="000000" w:themeColor="text1"/>
                <w:sz w:val="22"/>
              </w:rPr>
              <w:t>Die Anzahl der abgerechneten Entgeltschlüssel für Videobehandlungen ist auf 30 Prozent aller abgerechneten Entgeltschlüssel der jeweiligen P</w:t>
            </w:r>
            <w:r w:rsidR="000E2DCA">
              <w:rPr>
                <w:rFonts w:ascii="Arial" w:hAnsi="Arial" w:cs="Arial"/>
                <w:color w:val="000000" w:themeColor="text1"/>
                <w:sz w:val="22"/>
              </w:rPr>
              <w:t>s</w:t>
            </w:r>
            <w:r w:rsidRPr="001739DE">
              <w:rPr>
                <w:rFonts w:ascii="Arial" w:hAnsi="Arial" w:cs="Arial"/>
                <w:color w:val="000000" w:themeColor="text1"/>
                <w:sz w:val="22"/>
              </w:rPr>
              <w:t>IA innerhalb eines Behandlungsquartals beschränkt.</w:t>
            </w:r>
          </w:p>
          <w:p w14:paraId="221BAA00" w14:textId="3659FBDB" w:rsidR="000E2DCA" w:rsidRPr="00955618" w:rsidRDefault="000E2DCA" w:rsidP="001D2780">
            <w:pPr>
              <w:rPr>
                <w:rFonts w:ascii="Arial" w:hAnsi="Arial" w:cs="Arial"/>
                <w:color w:val="000000" w:themeColor="text1"/>
                <w:sz w:val="22"/>
              </w:rPr>
            </w:pPr>
          </w:p>
        </w:tc>
        <w:tc>
          <w:tcPr>
            <w:tcW w:w="2867" w:type="dxa"/>
          </w:tcPr>
          <w:p w14:paraId="1A557960" w14:textId="77777777" w:rsidR="00D459C7" w:rsidRPr="00955618" w:rsidRDefault="00D459C7" w:rsidP="00D459C7">
            <w:pPr>
              <w:rPr>
                <w:rFonts w:ascii="Arial" w:hAnsi="Arial" w:cs="Arial"/>
                <w:color w:val="000000" w:themeColor="text1"/>
                <w:sz w:val="22"/>
              </w:rPr>
            </w:pPr>
          </w:p>
        </w:tc>
        <w:tc>
          <w:tcPr>
            <w:tcW w:w="1357" w:type="dxa"/>
          </w:tcPr>
          <w:p w14:paraId="5C1E1444" w14:textId="76E4821B" w:rsidR="00D459C7" w:rsidRPr="00955618" w:rsidRDefault="007B78C9" w:rsidP="00D459C7">
            <w:pPr>
              <w:rPr>
                <w:rFonts w:ascii="Arial" w:hAnsi="Arial" w:cs="Arial"/>
                <w:color w:val="000000" w:themeColor="text1"/>
                <w:sz w:val="22"/>
              </w:rPr>
            </w:pPr>
            <w:r w:rsidRPr="007B78C9">
              <w:rPr>
                <w:rFonts w:ascii="Arial" w:hAnsi="Arial" w:cs="Arial"/>
                <w:color w:val="000000" w:themeColor="text1"/>
                <w:sz w:val="22"/>
              </w:rPr>
              <w:t>01.07.2024</w:t>
            </w:r>
          </w:p>
        </w:tc>
      </w:tr>
      <w:tr w:rsidR="001739DE" w:rsidRPr="00955618" w14:paraId="72CBB110" w14:textId="77777777" w:rsidTr="004D1CE4">
        <w:trPr>
          <w:trHeight w:val="1513"/>
        </w:trPr>
        <w:tc>
          <w:tcPr>
            <w:tcW w:w="3049" w:type="dxa"/>
          </w:tcPr>
          <w:p w14:paraId="54AE2187"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Zwei Leistungserbringer in Gruppen</w:t>
            </w:r>
          </w:p>
          <w:p w14:paraId="37490C7D"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2.4.4</w:t>
            </w:r>
          </w:p>
        </w:tc>
        <w:tc>
          <w:tcPr>
            <w:tcW w:w="1633" w:type="dxa"/>
          </w:tcPr>
          <w:p w14:paraId="23599A37" w14:textId="0A8D759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3F7DED46" w14:textId="16C12EC6" w:rsidR="00D459C7" w:rsidRPr="00955618" w:rsidRDefault="00D459C7" w:rsidP="00D459C7">
            <w:pPr>
              <w:pStyle w:val="Textkrper3"/>
              <w:rPr>
                <w:color w:val="000000" w:themeColor="text1"/>
              </w:rPr>
            </w:pPr>
            <w:r w:rsidRPr="00955618">
              <w:rPr>
                <w:color w:val="000000" w:themeColor="text1"/>
              </w:rPr>
              <w:t>Abgesehen von Leistungen mit Großgruppen können nur in Ausnahmefällen zur gleichen Zeit zwei Leistungserbringer tätig sein. Hier ist die Abrechnung von Kleingruppen auch mit zwei Therapeuten zugelassen. Diese können auch der gleichen Berufsgruppe angehören. In den Großgruppen ist eine Leistungsabrechnung beider Leistungserbringer möglich. Die Begründung kann jederzeit von den Krankenkassen eingesehen bzw. abgefragt werden.</w:t>
            </w:r>
          </w:p>
          <w:p w14:paraId="5D04603C" w14:textId="5C0DE00A"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Eine Abrechnung ist nur für maximal zwei Therapeuten möglich.</w:t>
            </w:r>
          </w:p>
        </w:tc>
        <w:tc>
          <w:tcPr>
            <w:tcW w:w="2867" w:type="dxa"/>
          </w:tcPr>
          <w:p w14:paraId="0BECB46B" w14:textId="2473EED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 Pkt.</w:t>
            </w:r>
            <w:r w:rsidR="00693F22">
              <w:rPr>
                <w:rFonts w:ascii="Arial" w:hAnsi="Arial" w:cs="Arial"/>
                <w:color w:val="000000" w:themeColor="text1"/>
                <w:sz w:val="22"/>
              </w:rPr>
              <w:t xml:space="preserve"> 2.4.2</w:t>
            </w:r>
          </w:p>
          <w:p w14:paraId="12D21F73"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„DBT-Gruppen“</w:t>
            </w:r>
          </w:p>
        </w:tc>
        <w:tc>
          <w:tcPr>
            <w:tcW w:w="1357" w:type="dxa"/>
          </w:tcPr>
          <w:p w14:paraId="220D498F" w14:textId="77777777" w:rsidR="00D459C7" w:rsidRPr="00955618" w:rsidRDefault="00D459C7" w:rsidP="00D459C7">
            <w:pPr>
              <w:rPr>
                <w:rFonts w:ascii="Arial" w:hAnsi="Arial" w:cs="Arial"/>
                <w:color w:val="000000" w:themeColor="text1"/>
                <w:sz w:val="22"/>
              </w:rPr>
            </w:pPr>
          </w:p>
        </w:tc>
      </w:tr>
    </w:tbl>
    <w:p w14:paraId="0B54A2E9" w14:textId="77777777" w:rsidR="00571738" w:rsidRPr="00955618" w:rsidRDefault="00571738" w:rsidP="0078559F">
      <w:pPr>
        <w:rPr>
          <w:color w:val="000000" w:themeColor="text1"/>
        </w:rPr>
      </w:pPr>
    </w:p>
    <w:sectPr w:rsidR="00571738" w:rsidRPr="00955618" w:rsidSect="00F11B5D">
      <w:pgSz w:w="16840" w:h="11907" w:orient="landscape" w:code="9"/>
      <w:pgMar w:top="815" w:right="567" w:bottom="815" w:left="1134" w:header="720" w:footer="278" w:gutter="0"/>
      <w:paperSrc w:first="3" w:other="3"/>
      <w:cols w:space="708"/>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7BA237" w16cid:durableId="24AAA335"/>
  <w16cid:commentId w16cid:paraId="777651B8" w16cid:durableId="24AAA7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3078F" w14:textId="77777777" w:rsidR="001739DE" w:rsidRDefault="001739DE">
      <w:r>
        <w:separator/>
      </w:r>
    </w:p>
  </w:endnote>
  <w:endnote w:type="continuationSeparator" w:id="0">
    <w:p w14:paraId="178B2A1C" w14:textId="77777777" w:rsidR="001739DE" w:rsidRDefault="00173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D2F92" w14:textId="77777777" w:rsidR="001739DE" w:rsidRDefault="001739DE">
    <w:pPr>
      <w:pStyle w:val="Fuzeile"/>
      <w:framePr w:wrap="around" w:vAnchor="text" w:hAnchor="margin" w:xAlign="center" w:y="1"/>
      <w:rPr>
        <w:rStyle w:val="Seitenzahl"/>
        <w:rFonts w:eastAsiaTheme="majorEastAsia"/>
      </w:rPr>
    </w:pPr>
    <w:r>
      <w:rPr>
        <w:rStyle w:val="Seitenzahl"/>
        <w:rFonts w:eastAsiaTheme="majorEastAsia"/>
      </w:rPr>
      <w:fldChar w:fldCharType="begin"/>
    </w:r>
    <w:r>
      <w:rPr>
        <w:rStyle w:val="Seitenzahl"/>
        <w:rFonts w:eastAsiaTheme="majorEastAsia"/>
      </w:rPr>
      <w:instrText xml:space="preserve">PAGE  </w:instrText>
    </w:r>
    <w:r>
      <w:rPr>
        <w:rStyle w:val="Seitenzahl"/>
        <w:rFonts w:eastAsiaTheme="majorEastAsia"/>
      </w:rPr>
      <w:fldChar w:fldCharType="separate"/>
    </w:r>
    <w:r>
      <w:rPr>
        <w:rStyle w:val="Seitenzahl"/>
        <w:rFonts w:eastAsiaTheme="majorEastAsia"/>
        <w:noProof/>
      </w:rPr>
      <w:t>1</w:t>
    </w:r>
    <w:r>
      <w:rPr>
        <w:rStyle w:val="Seitenzahl"/>
        <w:rFonts w:eastAsiaTheme="majorEastAsia"/>
      </w:rPr>
      <w:fldChar w:fldCharType="end"/>
    </w:r>
  </w:p>
  <w:p w14:paraId="64B6E7E0" w14:textId="77777777" w:rsidR="001739DE" w:rsidRDefault="001739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477D6" w14:textId="6F0E631F" w:rsidR="001739DE" w:rsidRDefault="001739DE" w:rsidP="00264BA1">
    <w:pPr>
      <w:pStyle w:val="Fuzeile"/>
      <w:rPr>
        <w:rFonts w:ascii="Arial" w:hAnsi="Arial" w:cs="Arial"/>
        <w:sz w:val="16"/>
      </w:rPr>
    </w:pPr>
    <w:r>
      <w:rPr>
        <w:rFonts w:ascii="Arial" w:hAnsi="Arial" w:cs="Arial"/>
        <w:sz w:val="18"/>
        <w:szCs w:val="18"/>
      </w:rPr>
      <w:t xml:space="preserve">Anlage 5 zur </w:t>
    </w:r>
    <w:r w:rsidRPr="00264BA1">
      <w:rPr>
        <w:rFonts w:ascii="Arial" w:hAnsi="Arial" w:cs="Arial"/>
        <w:sz w:val="18"/>
        <w:szCs w:val="18"/>
      </w:rPr>
      <w:t>Vereinbarung gem. §§ 113, 118 Abs.</w:t>
    </w:r>
    <w:r>
      <w:rPr>
        <w:rFonts w:ascii="Arial" w:hAnsi="Arial" w:cs="Arial"/>
        <w:sz w:val="18"/>
        <w:szCs w:val="18"/>
      </w:rPr>
      <w:t xml:space="preserve"> 3 und 120 SGB V </w:t>
    </w:r>
    <w:r w:rsidR="000E2DCA">
      <w:rPr>
        <w:rFonts w:ascii="Arial" w:hAnsi="Arial" w:cs="Arial"/>
        <w:sz w:val="18"/>
        <w:szCs w:val="18"/>
      </w:rPr>
      <w:t>zum 01.07.2024</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264BA1">
      <w:rPr>
        <w:rFonts w:ascii="Arial" w:hAnsi="Arial" w:cs="Arial"/>
        <w:sz w:val="18"/>
        <w:szCs w:val="18"/>
      </w:rPr>
      <w:fldChar w:fldCharType="begin"/>
    </w:r>
    <w:r w:rsidRPr="00264BA1">
      <w:rPr>
        <w:rFonts w:ascii="Arial" w:hAnsi="Arial" w:cs="Arial"/>
        <w:sz w:val="18"/>
        <w:szCs w:val="18"/>
      </w:rPr>
      <w:instrText>PAGE   \* MERGEFORMAT</w:instrText>
    </w:r>
    <w:r w:rsidRPr="00264BA1">
      <w:rPr>
        <w:rFonts w:ascii="Arial" w:hAnsi="Arial" w:cs="Arial"/>
        <w:sz w:val="18"/>
        <w:szCs w:val="18"/>
      </w:rPr>
      <w:fldChar w:fldCharType="separate"/>
    </w:r>
    <w:r w:rsidR="00BC71B7">
      <w:rPr>
        <w:rFonts w:ascii="Arial" w:hAnsi="Arial" w:cs="Arial"/>
        <w:noProof/>
        <w:sz w:val="18"/>
        <w:szCs w:val="18"/>
      </w:rPr>
      <w:t>23</w:t>
    </w:r>
    <w:r w:rsidRPr="00264BA1">
      <w:rPr>
        <w:rFonts w:ascii="Arial" w:hAnsi="Arial" w:cs="Arial"/>
        <w:sz w:val="18"/>
        <w:szCs w:val="18"/>
      </w:rPr>
      <w:fldChar w:fldCharType="end"/>
    </w:r>
    <w:r w:rsidRPr="00264BA1">
      <w:rPr>
        <w:rFonts w:ascii="Arial" w:hAnsi="Arial" w:cs="Arial"/>
        <w:sz w:val="18"/>
        <w:szCs w:val="18"/>
      </w:rPr>
      <w:t>/</w:t>
    </w:r>
    <w:r w:rsidR="000E2DCA">
      <w:rPr>
        <w:rFonts w:ascii="Arial" w:hAnsi="Arial" w:cs="Arial"/>
        <w:sz w:val="18"/>
        <w:szCs w:val="18"/>
      </w:rPr>
      <w:t>27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9AF61" w14:textId="77777777" w:rsidR="001739DE" w:rsidRDefault="001739DE">
      <w:r>
        <w:separator/>
      </w:r>
    </w:p>
  </w:footnote>
  <w:footnote w:type="continuationSeparator" w:id="0">
    <w:p w14:paraId="428548F9" w14:textId="77777777" w:rsidR="001739DE" w:rsidRDefault="00173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8A6E2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D0F5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C40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E67B1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AC4B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116733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01C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0643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7A61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3694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766427"/>
    <w:multiLevelType w:val="hybridMultilevel"/>
    <w:tmpl w:val="09428D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444986"/>
    <w:multiLevelType w:val="hybridMultilevel"/>
    <w:tmpl w:val="8BEE90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12B518D"/>
    <w:multiLevelType w:val="hybridMultilevel"/>
    <w:tmpl w:val="C158F770"/>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B5D"/>
    <w:rsid w:val="0000572C"/>
    <w:rsid w:val="000104D9"/>
    <w:rsid w:val="000170EC"/>
    <w:rsid w:val="00040A42"/>
    <w:rsid w:val="00065B8C"/>
    <w:rsid w:val="0007711F"/>
    <w:rsid w:val="0008333D"/>
    <w:rsid w:val="0009009F"/>
    <w:rsid w:val="000A526E"/>
    <w:rsid w:val="000C3BFF"/>
    <w:rsid w:val="000E2DCA"/>
    <w:rsid w:val="000F2144"/>
    <w:rsid w:val="001002A6"/>
    <w:rsid w:val="001122D9"/>
    <w:rsid w:val="00122FD2"/>
    <w:rsid w:val="001423BF"/>
    <w:rsid w:val="001739DE"/>
    <w:rsid w:val="001D2780"/>
    <w:rsid w:val="001F61C4"/>
    <w:rsid w:val="00200F85"/>
    <w:rsid w:val="00235647"/>
    <w:rsid w:val="00245446"/>
    <w:rsid w:val="00254C5A"/>
    <w:rsid w:val="002579D2"/>
    <w:rsid w:val="00264BA1"/>
    <w:rsid w:val="00273F07"/>
    <w:rsid w:val="00283967"/>
    <w:rsid w:val="002A5C66"/>
    <w:rsid w:val="002B2E37"/>
    <w:rsid w:val="002E27AD"/>
    <w:rsid w:val="00300C5E"/>
    <w:rsid w:val="00332220"/>
    <w:rsid w:val="00337211"/>
    <w:rsid w:val="00345FC7"/>
    <w:rsid w:val="00362D8D"/>
    <w:rsid w:val="00366EA5"/>
    <w:rsid w:val="003A2DF6"/>
    <w:rsid w:val="003B0DB6"/>
    <w:rsid w:val="003B363D"/>
    <w:rsid w:val="003D1935"/>
    <w:rsid w:val="003D376A"/>
    <w:rsid w:val="00417093"/>
    <w:rsid w:val="004260EB"/>
    <w:rsid w:val="004319DA"/>
    <w:rsid w:val="00440FD9"/>
    <w:rsid w:val="00453DB0"/>
    <w:rsid w:val="004626B5"/>
    <w:rsid w:val="004C1843"/>
    <w:rsid w:val="004C1C06"/>
    <w:rsid w:val="004C1C1D"/>
    <w:rsid w:val="004D1CE4"/>
    <w:rsid w:val="004D7AEF"/>
    <w:rsid w:val="00513EE4"/>
    <w:rsid w:val="0054177D"/>
    <w:rsid w:val="00544229"/>
    <w:rsid w:val="005551AF"/>
    <w:rsid w:val="00564538"/>
    <w:rsid w:val="00571738"/>
    <w:rsid w:val="00576E21"/>
    <w:rsid w:val="00582A0A"/>
    <w:rsid w:val="00593859"/>
    <w:rsid w:val="005A60A8"/>
    <w:rsid w:val="005F5675"/>
    <w:rsid w:val="00603128"/>
    <w:rsid w:val="00604080"/>
    <w:rsid w:val="0061276D"/>
    <w:rsid w:val="006502C8"/>
    <w:rsid w:val="00654B79"/>
    <w:rsid w:val="00656A79"/>
    <w:rsid w:val="00676E5B"/>
    <w:rsid w:val="00693F22"/>
    <w:rsid w:val="006D6C10"/>
    <w:rsid w:val="006D704A"/>
    <w:rsid w:val="006E4325"/>
    <w:rsid w:val="006F50A4"/>
    <w:rsid w:val="00733747"/>
    <w:rsid w:val="007377E0"/>
    <w:rsid w:val="0078559F"/>
    <w:rsid w:val="007A5A9B"/>
    <w:rsid w:val="007B78C9"/>
    <w:rsid w:val="007C43B5"/>
    <w:rsid w:val="007C79B1"/>
    <w:rsid w:val="007C7B9F"/>
    <w:rsid w:val="007D63A9"/>
    <w:rsid w:val="00800B4B"/>
    <w:rsid w:val="00802D8A"/>
    <w:rsid w:val="0080329B"/>
    <w:rsid w:val="00811F35"/>
    <w:rsid w:val="00895F82"/>
    <w:rsid w:val="008B06E4"/>
    <w:rsid w:val="008E2073"/>
    <w:rsid w:val="008E6B17"/>
    <w:rsid w:val="008F12CF"/>
    <w:rsid w:val="00907B33"/>
    <w:rsid w:val="00954B3A"/>
    <w:rsid w:val="00955618"/>
    <w:rsid w:val="00973C19"/>
    <w:rsid w:val="00976262"/>
    <w:rsid w:val="009921C5"/>
    <w:rsid w:val="00995A12"/>
    <w:rsid w:val="009C2682"/>
    <w:rsid w:val="009C57D8"/>
    <w:rsid w:val="00A0547A"/>
    <w:rsid w:val="00A15646"/>
    <w:rsid w:val="00A22703"/>
    <w:rsid w:val="00A2290B"/>
    <w:rsid w:val="00A255D1"/>
    <w:rsid w:val="00A835D1"/>
    <w:rsid w:val="00A8428F"/>
    <w:rsid w:val="00AA57AF"/>
    <w:rsid w:val="00AA6EBC"/>
    <w:rsid w:val="00AB5363"/>
    <w:rsid w:val="00AC0E64"/>
    <w:rsid w:val="00AE25C7"/>
    <w:rsid w:val="00AE68E1"/>
    <w:rsid w:val="00B10E36"/>
    <w:rsid w:val="00B14917"/>
    <w:rsid w:val="00B37D10"/>
    <w:rsid w:val="00B56971"/>
    <w:rsid w:val="00B64712"/>
    <w:rsid w:val="00B86D33"/>
    <w:rsid w:val="00BA4388"/>
    <w:rsid w:val="00BC1486"/>
    <w:rsid w:val="00BC23F2"/>
    <w:rsid w:val="00BC71B7"/>
    <w:rsid w:val="00BD563C"/>
    <w:rsid w:val="00BE6A20"/>
    <w:rsid w:val="00BF2004"/>
    <w:rsid w:val="00C16842"/>
    <w:rsid w:val="00C20357"/>
    <w:rsid w:val="00C3712F"/>
    <w:rsid w:val="00C41437"/>
    <w:rsid w:val="00C421AF"/>
    <w:rsid w:val="00C435C5"/>
    <w:rsid w:val="00C54725"/>
    <w:rsid w:val="00C770D8"/>
    <w:rsid w:val="00C91294"/>
    <w:rsid w:val="00C96724"/>
    <w:rsid w:val="00CA66E7"/>
    <w:rsid w:val="00CB5FC6"/>
    <w:rsid w:val="00CC6E4D"/>
    <w:rsid w:val="00CE6632"/>
    <w:rsid w:val="00CF1E59"/>
    <w:rsid w:val="00CF1F24"/>
    <w:rsid w:val="00D31BCD"/>
    <w:rsid w:val="00D459C7"/>
    <w:rsid w:val="00D5039C"/>
    <w:rsid w:val="00D62CDD"/>
    <w:rsid w:val="00D74F06"/>
    <w:rsid w:val="00D75845"/>
    <w:rsid w:val="00D90579"/>
    <w:rsid w:val="00D9323B"/>
    <w:rsid w:val="00DB2747"/>
    <w:rsid w:val="00DF2926"/>
    <w:rsid w:val="00DF304F"/>
    <w:rsid w:val="00E00AC3"/>
    <w:rsid w:val="00E02710"/>
    <w:rsid w:val="00E31F09"/>
    <w:rsid w:val="00E35992"/>
    <w:rsid w:val="00E440C7"/>
    <w:rsid w:val="00E77E6B"/>
    <w:rsid w:val="00E807AF"/>
    <w:rsid w:val="00EA1F10"/>
    <w:rsid w:val="00EE0468"/>
    <w:rsid w:val="00EE6D83"/>
    <w:rsid w:val="00EF3B81"/>
    <w:rsid w:val="00EF5A40"/>
    <w:rsid w:val="00F065B3"/>
    <w:rsid w:val="00F11B5D"/>
    <w:rsid w:val="00F152E3"/>
    <w:rsid w:val="00F32A11"/>
    <w:rsid w:val="00F335D7"/>
    <w:rsid w:val="00F57312"/>
    <w:rsid w:val="00F57DB5"/>
    <w:rsid w:val="00F75C68"/>
    <w:rsid w:val="00F84B0E"/>
    <w:rsid w:val="00F97186"/>
    <w:rsid w:val="00F97C16"/>
    <w:rsid w:val="00FA443E"/>
    <w:rsid w:val="00FB2EC9"/>
    <w:rsid w:val="00FC28E6"/>
    <w:rsid w:val="00FD18DD"/>
    <w:rsid w:val="00FF1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962C172"/>
  <w15:docId w15:val="{3A326EAD-6B5D-428E-ACAF-4EC3029B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60EB"/>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78559F"/>
    <w:pPr>
      <w:keepNext/>
      <w:keepLines/>
      <w:spacing w:before="480"/>
      <w:outlineLvl w:val="0"/>
    </w:pPr>
    <w:rPr>
      <w:rFonts w:asciiTheme="majorHAnsi" w:eastAsiaTheme="majorEastAsia" w:hAnsiTheme="majorHAnsi" w:cstheme="majorBidi"/>
      <w:b/>
      <w:bCs/>
      <w:color w:val="000000" w:themeColor="text1"/>
      <w:sz w:val="28"/>
      <w:szCs w:val="28"/>
    </w:rPr>
  </w:style>
  <w:style w:type="paragraph" w:styleId="berschrift2">
    <w:name w:val="heading 2"/>
    <w:basedOn w:val="Standard"/>
    <w:next w:val="Standard"/>
    <w:link w:val="berschrift2Zchn"/>
    <w:unhideWhenUsed/>
    <w:qFormat/>
    <w:rsid w:val="0078559F"/>
    <w:pPr>
      <w:keepNext/>
      <w:keepLines/>
      <w:spacing w:before="200"/>
      <w:outlineLvl w:val="1"/>
    </w:pPr>
    <w:rPr>
      <w:rFonts w:asciiTheme="majorHAnsi" w:eastAsiaTheme="majorEastAsia" w:hAnsiTheme="majorHAnsi" w:cstheme="majorBidi"/>
      <w:b/>
      <w:bCs/>
      <w:color w:val="000000" w:themeColor="text1"/>
      <w:sz w:val="26"/>
      <w:szCs w:val="26"/>
    </w:rPr>
  </w:style>
  <w:style w:type="paragraph" w:styleId="berschrift3">
    <w:name w:val="heading 3"/>
    <w:basedOn w:val="Standard"/>
    <w:next w:val="Standard"/>
    <w:link w:val="berschrift3Zchn"/>
    <w:unhideWhenUsed/>
    <w:qFormat/>
    <w:rsid w:val="0078559F"/>
    <w:pPr>
      <w:keepNext/>
      <w:keepLines/>
      <w:spacing w:before="200"/>
      <w:outlineLvl w:val="2"/>
    </w:pPr>
    <w:rPr>
      <w:rFonts w:asciiTheme="majorHAnsi" w:eastAsiaTheme="majorEastAsia" w:hAnsiTheme="majorHAnsi" w:cstheme="majorBidi"/>
      <w:b/>
      <w:bCs/>
      <w:color w:val="000000" w:themeColor="text1"/>
    </w:rPr>
  </w:style>
  <w:style w:type="paragraph" w:styleId="berschrift4">
    <w:name w:val="heading 4"/>
    <w:basedOn w:val="Standard"/>
    <w:next w:val="Standard"/>
    <w:link w:val="berschrift4Zchn"/>
    <w:unhideWhenUsed/>
    <w:qFormat/>
    <w:rsid w:val="0078559F"/>
    <w:pPr>
      <w:keepNext/>
      <w:keepLines/>
      <w:spacing w:before="200"/>
      <w:outlineLvl w:val="3"/>
    </w:pPr>
    <w:rPr>
      <w:rFonts w:asciiTheme="majorHAnsi" w:eastAsiaTheme="majorEastAsia" w:hAnsiTheme="majorHAnsi" w:cstheme="majorBidi"/>
      <w:b/>
      <w:bCs/>
      <w: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8559F"/>
    <w:rPr>
      <w:rFonts w:asciiTheme="majorHAnsi" w:eastAsiaTheme="majorEastAsia" w:hAnsiTheme="majorHAnsi" w:cstheme="majorBidi"/>
      <w:b/>
      <w:bCs/>
      <w:color w:val="000000" w:themeColor="text1"/>
      <w:sz w:val="28"/>
      <w:szCs w:val="28"/>
    </w:rPr>
  </w:style>
  <w:style w:type="character" w:customStyle="1" w:styleId="berschrift2Zchn">
    <w:name w:val="Überschrift 2 Zchn"/>
    <w:basedOn w:val="Absatz-Standardschriftart"/>
    <w:link w:val="berschrift2"/>
    <w:uiPriority w:val="9"/>
    <w:semiHidden/>
    <w:rsid w:val="0078559F"/>
    <w:rPr>
      <w:rFonts w:asciiTheme="majorHAnsi" w:eastAsiaTheme="majorEastAsia" w:hAnsiTheme="majorHAnsi" w:cstheme="majorBidi"/>
      <w:b/>
      <w:bCs/>
      <w:color w:val="000000" w:themeColor="text1"/>
      <w:sz w:val="26"/>
      <w:szCs w:val="26"/>
    </w:rPr>
  </w:style>
  <w:style w:type="character" w:customStyle="1" w:styleId="berschrift3Zchn">
    <w:name w:val="Überschrift 3 Zchn"/>
    <w:basedOn w:val="Absatz-Standardschriftart"/>
    <w:link w:val="berschrift3"/>
    <w:uiPriority w:val="9"/>
    <w:semiHidden/>
    <w:rsid w:val="0078559F"/>
    <w:rPr>
      <w:rFonts w:asciiTheme="majorHAnsi" w:eastAsiaTheme="majorEastAsia" w:hAnsiTheme="majorHAnsi" w:cstheme="majorBidi"/>
      <w:b/>
      <w:bCs/>
      <w:color w:val="000000" w:themeColor="text1"/>
    </w:rPr>
  </w:style>
  <w:style w:type="character" w:customStyle="1" w:styleId="berschrift4Zchn">
    <w:name w:val="Überschrift 4 Zchn"/>
    <w:basedOn w:val="Absatz-Standardschriftart"/>
    <w:link w:val="berschrift4"/>
    <w:uiPriority w:val="9"/>
    <w:semiHidden/>
    <w:rsid w:val="0078559F"/>
    <w:rPr>
      <w:rFonts w:asciiTheme="majorHAnsi" w:eastAsiaTheme="majorEastAsia" w:hAnsiTheme="majorHAnsi" w:cstheme="majorBidi"/>
      <w:b/>
      <w:bCs/>
      <w:i/>
      <w:iCs/>
      <w:color w:val="000000" w:themeColor="text1"/>
    </w:rPr>
  </w:style>
  <w:style w:type="paragraph" w:styleId="Untertitel">
    <w:name w:val="Subtitle"/>
    <w:basedOn w:val="Standard"/>
    <w:next w:val="Standard"/>
    <w:link w:val="UntertitelZchn"/>
    <w:uiPriority w:val="11"/>
    <w:qFormat/>
    <w:rsid w:val="0078559F"/>
    <w:pPr>
      <w:numPr>
        <w:ilvl w:val="1"/>
      </w:numPr>
    </w:pPr>
    <w:rPr>
      <w:rFonts w:asciiTheme="majorHAnsi" w:eastAsiaTheme="majorEastAsia" w:hAnsiTheme="majorHAnsi" w:cstheme="majorBidi"/>
      <w:i/>
      <w:iCs/>
      <w:color w:val="000000" w:themeColor="text1"/>
      <w:spacing w:val="15"/>
    </w:rPr>
  </w:style>
  <w:style w:type="character" w:customStyle="1" w:styleId="UntertitelZchn">
    <w:name w:val="Untertitel Zchn"/>
    <w:basedOn w:val="Absatz-Standardschriftart"/>
    <w:link w:val="Untertitel"/>
    <w:uiPriority w:val="11"/>
    <w:rsid w:val="0078559F"/>
    <w:rPr>
      <w:rFonts w:asciiTheme="majorHAnsi" w:eastAsiaTheme="majorEastAsia" w:hAnsiTheme="majorHAnsi" w:cstheme="majorBidi"/>
      <w:i/>
      <w:iCs/>
      <w:color w:val="000000" w:themeColor="text1"/>
      <w:spacing w:val="15"/>
      <w:sz w:val="24"/>
      <w:szCs w:val="24"/>
    </w:rPr>
  </w:style>
  <w:style w:type="paragraph" w:styleId="Titel">
    <w:name w:val="Title"/>
    <w:basedOn w:val="Standard"/>
    <w:next w:val="Standard"/>
    <w:link w:val="TitelZchn"/>
    <w:uiPriority w:val="10"/>
    <w:qFormat/>
    <w:rsid w:val="0078559F"/>
    <w:pPr>
      <w:pBdr>
        <w:bottom w:val="single" w:sz="8" w:space="4" w:color="009836" w:themeColor="accent1"/>
      </w:pBdr>
      <w:spacing w:after="300"/>
      <w:contextualSpacing/>
    </w:pPr>
    <w:rPr>
      <w:rFonts w:asciiTheme="majorHAnsi" w:eastAsiaTheme="majorEastAsia" w:hAnsiTheme="majorHAnsi" w:cstheme="majorBidi"/>
      <w:color w:val="009836" w:themeColor="accent1"/>
      <w:spacing w:val="5"/>
      <w:kern w:val="28"/>
      <w:sz w:val="52"/>
      <w:szCs w:val="52"/>
    </w:rPr>
  </w:style>
  <w:style w:type="character" w:customStyle="1" w:styleId="TitelZchn">
    <w:name w:val="Titel Zchn"/>
    <w:basedOn w:val="Absatz-Standardschriftart"/>
    <w:link w:val="Titel"/>
    <w:uiPriority w:val="10"/>
    <w:rsid w:val="0078559F"/>
    <w:rPr>
      <w:rFonts w:asciiTheme="majorHAnsi" w:eastAsiaTheme="majorEastAsia" w:hAnsiTheme="majorHAnsi" w:cstheme="majorBidi"/>
      <w:color w:val="009836" w:themeColor="accent1"/>
      <w:spacing w:val="5"/>
      <w:kern w:val="28"/>
      <w:sz w:val="52"/>
      <w:szCs w:val="52"/>
    </w:rPr>
  </w:style>
  <w:style w:type="paragraph" w:styleId="Textkrper2">
    <w:name w:val="Body Text 2"/>
    <w:basedOn w:val="Standard"/>
    <w:link w:val="Textkrper2Zchn"/>
    <w:semiHidden/>
    <w:rsid w:val="00F11B5D"/>
    <w:rPr>
      <w:rFonts w:ascii="Arial" w:hAnsi="Arial"/>
      <w:color w:val="FF0000"/>
      <w:sz w:val="22"/>
    </w:rPr>
  </w:style>
  <w:style w:type="character" w:customStyle="1" w:styleId="Textkrper2Zchn">
    <w:name w:val="Textkörper 2 Zchn"/>
    <w:basedOn w:val="Absatz-Standardschriftart"/>
    <w:link w:val="Textkrper2"/>
    <w:semiHidden/>
    <w:rsid w:val="00F11B5D"/>
    <w:rPr>
      <w:rFonts w:eastAsia="Times New Roman" w:cs="Times New Roman"/>
      <w:color w:val="FF0000"/>
      <w:szCs w:val="24"/>
      <w:lang w:eastAsia="de-DE"/>
    </w:rPr>
  </w:style>
  <w:style w:type="paragraph" w:styleId="Fuzeile">
    <w:name w:val="footer"/>
    <w:basedOn w:val="Standard"/>
    <w:link w:val="FuzeileZchn"/>
    <w:semiHidden/>
    <w:rsid w:val="00F11B5D"/>
    <w:pPr>
      <w:tabs>
        <w:tab w:val="center" w:pos="4536"/>
        <w:tab w:val="right" w:pos="9072"/>
      </w:tabs>
    </w:pPr>
  </w:style>
  <w:style w:type="character" w:customStyle="1" w:styleId="FuzeileZchn">
    <w:name w:val="Fußzeile Zchn"/>
    <w:basedOn w:val="Absatz-Standardschriftart"/>
    <w:link w:val="Fuzeile"/>
    <w:semiHidden/>
    <w:rsid w:val="00F11B5D"/>
    <w:rPr>
      <w:rFonts w:ascii="Times New Roman" w:eastAsia="Times New Roman" w:hAnsi="Times New Roman" w:cs="Times New Roman"/>
      <w:sz w:val="24"/>
      <w:szCs w:val="24"/>
      <w:lang w:eastAsia="de-DE"/>
    </w:rPr>
  </w:style>
  <w:style w:type="character" w:styleId="Seitenzahl">
    <w:name w:val="page number"/>
    <w:basedOn w:val="Absatz-Standardschriftart"/>
    <w:semiHidden/>
    <w:rsid w:val="00F11B5D"/>
  </w:style>
  <w:style w:type="paragraph" w:styleId="Textkrper">
    <w:name w:val="Body Text"/>
    <w:basedOn w:val="Standard"/>
    <w:link w:val="TextkrperZchn"/>
    <w:semiHidden/>
    <w:rsid w:val="00F11B5D"/>
    <w:rPr>
      <w:rFonts w:ascii="Arial" w:hAnsi="Arial" w:cs="Arial"/>
      <w:color w:val="0000FF"/>
      <w:sz w:val="22"/>
    </w:rPr>
  </w:style>
  <w:style w:type="character" w:customStyle="1" w:styleId="TextkrperZchn">
    <w:name w:val="Textkörper Zchn"/>
    <w:basedOn w:val="Absatz-Standardschriftart"/>
    <w:link w:val="Textkrper"/>
    <w:semiHidden/>
    <w:rsid w:val="00F11B5D"/>
    <w:rPr>
      <w:rFonts w:eastAsia="Times New Roman"/>
      <w:color w:val="0000FF"/>
      <w:szCs w:val="24"/>
      <w:lang w:eastAsia="de-DE"/>
    </w:rPr>
  </w:style>
  <w:style w:type="paragraph" w:styleId="Textkrper3">
    <w:name w:val="Body Text 3"/>
    <w:basedOn w:val="Standard"/>
    <w:link w:val="Textkrper3Zchn"/>
    <w:semiHidden/>
    <w:rsid w:val="00F11B5D"/>
    <w:rPr>
      <w:rFonts w:ascii="Arial" w:hAnsi="Arial" w:cs="Arial"/>
      <w:color w:val="000000"/>
      <w:sz w:val="22"/>
    </w:rPr>
  </w:style>
  <w:style w:type="character" w:customStyle="1" w:styleId="Textkrper3Zchn">
    <w:name w:val="Textkörper 3 Zchn"/>
    <w:basedOn w:val="Absatz-Standardschriftart"/>
    <w:link w:val="Textkrper3"/>
    <w:semiHidden/>
    <w:rsid w:val="00F11B5D"/>
    <w:rPr>
      <w:rFonts w:eastAsia="Times New Roman"/>
      <w:color w:val="000000"/>
      <w:szCs w:val="24"/>
      <w:lang w:eastAsia="de-DE"/>
    </w:rPr>
  </w:style>
  <w:style w:type="paragraph" w:styleId="Listenabsatz">
    <w:name w:val="List Paragraph"/>
    <w:basedOn w:val="Standard"/>
    <w:uiPriority w:val="34"/>
    <w:qFormat/>
    <w:rsid w:val="00F11B5D"/>
    <w:pPr>
      <w:ind w:left="720"/>
      <w:contextualSpacing/>
    </w:pPr>
    <w:rPr>
      <w:rFonts w:ascii="Arial" w:eastAsia="Arial" w:hAnsi="Arial" w:cs="Arial"/>
      <w:sz w:val="22"/>
      <w:szCs w:val="22"/>
      <w:lang w:eastAsia="en-US"/>
    </w:rPr>
  </w:style>
  <w:style w:type="paragraph" w:styleId="Sprechblasentext">
    <w:name w:val="Balloon Text"/>
    <w:basedOn w:val="Standard"/>
    <w:link w:val="SprechblasentextZchn"/>
    <w:uiPriority w:val="99"/>
    <w:semiHidden/>
    <w:unhideWhenUsed/>
    <w:rsid w:val="00F75C6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5C68"/>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576E21"/>
    <w:pPr>
      <w:tabs>
        <w:tab w:val="center" w:pos="4536"/>
        <w:tab w:val="right" w:pos="9072"/>
      </w:tabs>
    </w:pPr>
  </w:style>
  <w:style w:type="character" w:customStyle="1" w:styleId="KopfzeileZchn">
    <w:name w:val="Kopfzeile Zchn"/>
    <w:basedOn w:val="Absatz-Standardschriftart"/>
    <w:link w:val="Kopfzeile"/>
    <w:uiPriority w:val="99"/>
    <w:rsid w:val="00576E21"/>
    <w:rPr>
      <w:rFonts w:ascii="Times New Roman" w:eastAsia="Times New Roman" w:hAnsi="Times New Roman" w:cs="Times New Roman"/>
      <w:sz w:val="24"/>
      <w:szCs w:val="24"/>
      <w:lang w:eastAsia="de-DE"/>
    </w:rPr>
  </w:style>
  <w:style w:type="character" w:customStyle="1" w:styleId="n007f5f58x0299f358">
    <w:name w:val="n007f5f58x0299f358"/>
    <w:basedOn w:val="Absatz-Standardschriftart"/>
    <w:rsid w:val="003D376A"/>
  </w:style>
  <w:style w:type="character" w:customStyle="1" w:styleId="n007f5f58x029a5428">
    <w:name w:val="n007f5f58x029a5428"/>
    <w:basedOn w:val="Absatz-Standardschriftart"/>
    <w:rsid w:val="003D376A"/>
  </w:style>
  <w:style w:type="character" w:styleId="Kommentarzeichen">
    <w:name w:val="annotation reference"/>
    <w:basedOn w:val="Absatz-Standardschriftart"/>
    <w:uiPriority w:val="99"/>
    <w:semiHidden/>
    <w:unhideWhenUsed/>
    <w:rsid w:val="00EF3B81"/>
    <w:rPr>
      <w:sz w:val="16"/>
      <w:szCs w:val="16"/>
    </w:rPr>
  </w:style>
  <w:style w:type="paragraph" w:styleId="Kommentartext">
    <w:name w:val="annotation text"/>
    <w:basedOn w:val="Standard"/>
    <w:link w:val="KommentartextZchn"/>
    <w:uiPriority w:val="99"/>
    <w:semiHidden/>
    <w:unhideWhenUsed/>
    <w:rsid w:val="00EF3B81"/>
    <w:rPr>
      <w:sz w:val="20"/>
      <w:szCs w:val="20"/>
    </w:rPr>
  </w:style>
  <w:style w:type="character" w:customStyle="1" w:styleId="KommentartextZchn">
    <w:name w:val="Kommentartext Zchn"/>
    <w:basedOn w:val="Absatz-Standardschriftart"/>
    <w:link w:val="Kommentartext"/>
    <w:uiPriority w:val="99"/>
    <w:semiHidden/>
    <w:rsid w:val="00EF3B8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F3B81"/>
    <w:rPr>
      <w:b/>
      <w:bCs/>
    </w:rPr>
  </w:style>
  <w:style w:type="character" w:customStyle="1" w:styleId="KommentarthemaZchn">
    <w:name w:val="Kommentarthema Zchn"/>
    <w:basedOn w:val="KommentartextZchn"/>
    <w:link w:val="Kommentarthema"/>
    <w:uiPriority w:val="99"/>
    <w:semiHidden/>
    <w:rsid w:val="00EF3B81"/>
    <w:rPr>
      <w:rFonts w:ascii="Times New Roman" w:eastAsia="Times New Roman" w:hAnsi="Times New Roman" w:cs="Times New Roman"/>
      <w:b/>
      <w:bCs/>
      <w:sz w:val="20"/>
      <w:szCs w:val="20"/>
      <w:lang w:eastAsia="de-DE"/>
    </w:rPr>
  </w:style>
  <w:style w:type="table" w:styleId="Tabellenraster">
    <w:name w:val="Table Grid"/>
    <w:basedOn w:val="NormaleTabelle"/>
    <w:uiPriority w:val="59"/>
    <w:rsid w:val="006127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86D33"/>
    <w:rPr>
      <w:color w:val="0000FF" w:themeColor="hyperlink"/>
      <w:u w:val="single"/>
    </w:rPr>
  </w:style>
  <w:style w:type="character" w:styleId="BesuchterLink">
    <w:name w:val="FollowedHyperlink"/>
    <w:basedOn w:val="Absatz-Standardschriftart"/>
    <w:uiPriority w:val="99"/>
    <w:semiHidden/>
    <w:unhideWhenUsed/>
    <w:rsid w:val="00B86D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901002">
      <w:bodyDiv w:val="1"/>
      <w:marLeft w:val="0"/>
      <w:marRight w:val="0"/>
      <w:marTop w:val="0"/>
      <w:marBottom w:val="0"/>
      <w:divBdr>
        <w:top w:val="none" w:sz="0" w:space="0" w:color="auto"/>
        <w:left w:val="none" w:sz="0" w:space="0" w:color="auto"/>
        <w:bottom w:val="none" w:sz="0" w:space="0" w:color="auto"/>
        <w:right w:val="none" w:sz="0" w:space="0" w:color="auto"/>
      </w:divBdr>
    </w:div>
    <w:div w:id="103025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AOK-Standard">
  <a:themeElements>
    <a:clrScheme name="AOK-Standard">
      <a:dk1>
        <a:sysClr val="windowText" lastClr="000000"/>
      </a:dk1>
      <a:lt1>
        <a:sysClr val="window" lastClr="FFFFFF"/>
      </a:lt1>
      <a:dk2>
        <a:srgbClr val="000000"/>
      </a:dk2>
      <a:lt2>
        <a:srgbClr val="009836"/>
      </a:lt2>
      <a:accent1>
        <a:srgbClr val="009836"/>
      </a:accent1>
      <a:accent2>
        <a:srgbClr val="007B45"/>
      </a:accent2>
      <a:accent3>
        <a:srgbClr val="A8C2AB"/>
      </a:accent3>
      <a:accent4>
        <a:srgbClr val="E0E1A9"/>
      </a:accent4>
      <a:accent5>
        <a:srgbClr val="B0B500"/>
      </a:accent5>
      <a:accent6>
        <a:srgbClr val="FFF4AC"/>
      </a:accent6>
      <a:hlink>
        <a:srgbClr val="0000FF"/>
      </a:hlink>
      <a:folHlink>
        <a:srgbClr val="800080"/>
      </a:folHlink>
    </a:clrScheme>
    <a:fontScheme name="AOK-Standard">
      <a:majorFont>
        <a:latin typeface="Arial Black"/>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B02CE-9215-4AA4-9E2B-7F68481E5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4679</Words>
  <Characters>29484</Characters>
  <Application>Microsoft Office Word</Application>
  <DocSecurity>0</DocSecurity>
  <Lines>245</Lines>
  <Paragraphs>68</Paragraphs>
  <ScaleCrop>false</ScaleCrop>
  <HeadingPairs>
    <vt:vector size="2" baseType="variant">
      <vt:variant>
        <vt:lpstr>Titel</vt:lpstr>
      </vt:variant>
      <vt:variant>
        <vt:i4>1</vt:i4>
      </vt:variant>
    </vt:vector>
  </HeadingPairs>
  <TitlesOfParts>
    <vt:vector size="1" baseType="lpstr">
      <vt:lpstr/>
    </vt:vector>
  </TitlesOfParts>
  <Company>AOK Bayern</Company>
  <LinksUpToDate>false</LinksUpToDate>
  <CharactersWithSpaces>34095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xxx</dc:creator>
  <cp:lastModifiedBy>Lieb, Juliane</cp:lastModifiedBy>
  <cp:revision>2</cp:revision>
  <cp:lastPrinted>2024-06-25T09:25:00Z</cp:lastPrinted>
  <dcterms:created xsi:type="dcterms:W3CDTF">2024-07-02T06:45:00Z</dcterms:created>
  <dcterms:modified xsi:type="dcterms:W3CDTF">2024-07-02T06:45:00Z</dcterms:modified>
</cp:coreProperties>
</file>